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2</w:t>
      </w:r>
    </w:p>
    <w:p>
      <w:pPr>
        <w:suppressAutoHyphens/>
        <w:spacing w:line="640" w:lineRule="exact"/>
        <w:ind w:firstLine="2200" w:firstLineChars="50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2022年来宾市食品安全监督抽检品种及检验项目表</w:t>
      </w:r>
    </w:p>
    <w:p>
      <w:pPr>
        <w:pStyle w:val="2"/>
        <w:rPr>
          <w:rFonts w:hint="eastAsia"/>
          <w:lang w:val="en-US" w:eastAsia="zh-CN"/>
        </w:rPr>
      </w:pPr>
    </w:p>
    <w:p>
      <w:pPr>
        <w:pStyle w:val="2"/>
        <w:rPr>
          <w:rFonts w:hint="eastAsia"/>
          <w:lang w:val="en-US" w:eastAsia="zh-CN"/>
        </w:rPr>
      </w:pPr>
    </w:p>
    <w:tbl>
      <w:tblPr>
        <w:tblStyle w:val="8"/>
        <w:tblW w:w="0" w:type="auto"/>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25"/>
        <w:gridCol w:w="1129"/>
        <w:gridCol w:w="1545"/>
        <w:gridCol w:w="2263"/>
        <w:gridCol w:w="835"/>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62"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29</w:t>
            </w:r>
          </w:p>
        </w:tc>
        <w:tc>
          <w:tcPr>
            <w:tcW w:w="1325"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餐饮食品</w:t>
            </w:r>
          </w:p>
        </w:tc>
        <w:tc>
          <w:tcPr>
            <w:tcW w:w="1129"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米面及其制品(自制)</w:t>
            </w:r>
          </w:p>
        </w:tc>
        <w:tc>
          <w:tcPr>
            <w:tcW w:w="1545"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小麦粉制品(自制)</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发酵面制品(自制)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54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油炸面制品(自制)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肉制品(自制)</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熟肉制品(自制)</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酱卤肉制品(自制)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胭脂红、苯甲酸及其钠盐（以苯甲酸计）、山梨酸及其钾盐（以山梨酸计）、糖精钠（以糖精计）、脱氢乙酸及其钠盐（以脱氢乙酸计）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复合调味料(自制)</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半固态调味料(自制)</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火锅调味料(底料、蘸料)(自制)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罂粟碱、吗啡、可待因、那可丁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水产及水产制品（餐饮）</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水产及水产制品（餐饮）</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生食动物性水产品（餐饮）</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挥发性盐基氮、镉（以Cd计）、铝的残留量（以即食海蜇中Al计）、吸虫囊蚴、线虫幼虫、绦虫裂头蚴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坚果及籽类食品（餐饮）</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坚果及籽类食品（餐饮）</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花生及其制品（餐饮)</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黄曲霉毒素B</w:t>
            </w:r>
            <w:r>
              <w:rPr>
                <w:rFonts w:hint="default" w:ascii="Times New Roman" w:hAnsi="Times New Roman" w:eastAsia="仿宋_GB2312"/>
                <w:color w:val="000000"/>
                <w:kern w:val="0"/>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餐饮具</w:t>
            </w:r>
          </w:p>
        </w:tc>
        <w:tc>
          <w:tcPr>
            <w:tcW w:w="1545"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复用餐饮具</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复用餐饮具（餐馆自行消毒）</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阴离子合成洗涤剂（以十二烷基苯磺酸钠计）、大肠菌群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Merge w:val="continue"/>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p>
        </w:tc>
        <w:tc>
          <w:tcPr>
            <w:tcW w:w="1545" w:type="dxa"/>
            <w:vMerge w:val="continue"/>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复用餐饮具（集中清洗消毒服务单位消毒）</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阴离子合成洗涤剂（以十二烷基苯磺酸钠计）、大肠菌群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饮料（自制）</w:t>
            </w:r>
          </w:p>
        </w:tc>
        <w:tc>
          <w:tcPr>
            <w:tcW w:w="1545" w:type="dxa"/>
            <w:vMerge w:val="restart"/>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饮料（自制）</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果蔬汁等饮料（自制）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bookmarkStart w:id="0" w:name="OLE_LINK3"/>
            <w:r>
              <w:rPr>
                <w:rFonts w:hint="default" w:ascii="Times New Roman" w:hAnsi="Times New Roman" w:eastAsia="仿宋_GB2312"/>
                <w:color w:val="000000"/>
                <w:kern w:val="0"/>
                <w:szCs w:val="21"/>
              </w:rPr>
              <w:t>苯甲酸及其钠盐（以苯甲酸计）、山梨酸及其钾盐（以山梨酸计）、脱氢乙酸及其钠盐（以脱氢乙酸计）、安赛蜜、甜蜜素（以环己基氨基磺酸计）、</w:t>
            </w:r>
            <w:bookmarkEnd w:id="0"/>
            <w:bookmarkStart w:id="1" w:name="OLE_LINK1"/>
            <w:r>
              <w:rPr>
                <w:rFonts w:hint="default" w:ascii="Times New Roman" w:hAnsi="Times New Roman" w:eastAsia="仿宋_GB2312"/>
                <w:color w:val="000000"/>
                <w:kern w:val="0"/>
                <w:szCs w:val="21"/>
              </w:rPr>
              <w:t>合成着色剂（苋菜红、胭脂红、柠檬黄、日落黄、亮蓝，视产品具体色泽而定）</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54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其他饮料（自制）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苯甲酸及其钠盐（以苯甲酸计）、山梨酸及其钾盐（以山梨酸计）、甜蜜素（以环己基氨基磺酸计）、合成着色剂（苋菜红、胭脂红、柠檬黄、日落黄、亮蓝，视产品具体色泽而定）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其他餐饮食品</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焙烤食品（餐饮）</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糕点（餐饮单位自制）</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苯甲酸及其钠盐（以苯甲酸计）、山梨酸及其钾盐（以山梨酸计）、脱氢乙酸及其钠盐（以脱氢乙酸计）、安赛蜜、甜蜜素（以环己基氨基磺酸计）、糖精钠（以糖精计）、铝的残留量（干样品，以Al计）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32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kern w:val="0"/>
                <w:szCs w:val="21"/>
              </w:rPr>
            </w:pPr>
          </w:p>
        </w:tc>
        <w:tc>
          <w:tcPr>
            <w:tcW w:w="1129"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其他餐饮食品</w:t>
            </w:r>
          </w:p>
        </w:tc>
        <w:tc>
          <w:tcPr>
            <w:tcW w:w="154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凉菜类（餐饮）</w:t>
            </w:r>
          </w:p>
        </w:tc>
        <w:tc>
          <w:tcPr>
            <w:tcW w:w="2263"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酱腌菜（餐饮）</w:t>
            </w:r>
          </w:p>
        </w:tc>
        <w:tc>
          <w:tcPr>
            <w:tcW w:w="835" w:type="dxa"/>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较高</w:t>
            </w:r>
          </w:p>
        </w:tc>
        <w:tc>
          <w:tcPr>
            <w:tcW w:w="6529" w:type="dxa"/>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仿宋_GB2312"/>
                <w:color w:val="000000"/>
                <w:kern w:val="0"/>
                <w:szCs w:val="21"/>
              </w:rPr>
            </w:pPr>
            <w:r>
              <w:rPr>
                <w:rFonts w:hint="default" w:ascii="Times New Roman" w:hAnsi="Times New Roman" w:eastAsia="仿宋_GB2312"/>
                <w:color w:val="000000"/>
                <w:kern w:val="0"/>
                <w:szCs w:val="21"/>
              </w:rPr>
              <w:t>苯甲酸及其钠盐（以苯甲酸计）、山梨酸及其钾盐（以山梨酸计）、糖精钠（以糖精计）、阿斯巴甜、甜蜜素（以环己基氨基磺酸计）、脱氢乙酸及其钠盐（以脱氢乙酸计）、铅（以Pb 计）、三氯蔗糖、纽甜、防腐剂混合使用时各自用量占其最大使用量的比例之和</w:t>
            </w:r>
          </w:p>
        </w:tc>
      </w:tr>
    </w:tbl>
    <w:p>
      <w:pPr>
        <w:suppressAutoHyphens/>
        <w:rPr>
          <w:rFonts w:hint="eastAsia" w:ascii="黑体" w:hAnsi="黑体" w:eastAsia="黑体"/>
          <w:sz w:val="32"/>
          <w:szCs w:val="32"/>
          <w:lang w:val="en-US" w:eastAsia="zh-CN"/>
        </w:rPr>
      </w:pPr>
    </w:p>
    <w:p>
      <w:pPr>
        <w:pStyle w:val="2"/>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pStyle w:val="2"/>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pStyle w:val="2"/>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pStyle w:val="2"/>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pStyle w:val="2"/>
        <w:rPr>
          <w:rFonts w:hint="eastAsia" w:ascii="黑体" w:hAnsi="黑体" w:eastAsia="黑体"/>
          <w:sz w:val="32"/>
          <w:szCs w:val="32"/>
          <w:lang w:val="en-US" w:eastAsia="zh-CN"/>
        </w:rPr>
      </w:pPr>
    </w:p>
    <w:p>
      <w:pPr>
        <w:rPr>
          <w:rFonts w:hint="eastAsia"/>
          <w:lang w:val="en-US" w:eastAsia="zh-CN"/>
        </w:rPr>
      </w:pPr>
    </w:p>
    <w:p>
      <w:pPr>
        <w:keepNext w:val="0"/>
        <w:keepLines w:val="0"/>
        <w:widowControl w:val="0"/>
        <w:suppressLineNumbers w:val="0"/>
        <w:spacing w:before="0" w:beforeAutospacing="0" w:after="120" w:afterLines="50" w:afterAutospacing="0" w:line="640" w:lineRule="exact"/>
        <w:ind w:left="0" w:right="0" w:firstLine="880" w:firstLineChars="200"/>
        <w:jc w:val="center"/>
        <w:rPr>
          <w:rFonts w:hint="eastAsia" w:ascii="Times New Roman" w:hAnsi="Times New Roman" w:eastAsia="方正小标宋简体" w:cs="方正小标宋简体"/>
          <w:kern w:val="0"/>
          <w:sz w:val="44"/>
          <w:szCs w:val="44"/>
          <w:lang w:val="en-US" w:eastAsia="zh-CN" w:bidi="ar"/>
        </w:rPr>
      </w:pPr>
      <w:r>
        <w:rPr>
          <w:rFonts w:hint="eastAsia" w:ascii="Times New Roman" w:hAnsi="Times New Roman" w:eastAsia="方正小标宋简体" w:cs="方正小标宋简体"/>
          <w:kern w:val="0"/>
          <w:sz w:val="44"/>
          <w:szCs w:val="44"/>
          <w:lang w:val="en-US" w:eastAsia="zh-CN" w:bidi="ar"/>
        </w:rPr>
        <w:t>校园食品安全专项抽检监测品种及项目表</w:t>
      </w:r>
    </w:p>
    <w:tbl>
      <w:tblPr>
        <w:tblStyle w:val="8"/>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751"/>
        <w:gridCol w:w="848"/>
        <w:gridCol w:w="1117"/>
        <w:gridCol w:w="2450"/>
        <w:gridCol w:w="2305"/>
        <w:gridCol w:w="2968"/>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9" w:hRule="atLeast"/>
          <w:jc w:val="center"/>
        </w:trPr>
        <w:tc>
          <w:tcPr>
            <w:tcW w:w="1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7</w:t>
            </w:r>
          </w:p>
        </w:tc>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餐饮食品</w:t>
            </w:r>
          </w:p>
        </w:tc>
        <w:tc>
          <w:tcPr>
            <w:tcW w:w="2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小麦粉制品（自制）</w:t>
            </w:r>
          </w:p>
        </w:tc>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油饼油条（自制）</w:t>
            </w:r>
          </w:p>
        </w:tc>
        <w:tc>
          <w:tcPr>
            <w:tcW w:w="8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铝的残留量（干样品，以</w:t>
            </w:r>
            <w:r>
              <w:rPr>
                <w:rFonts w:hint="default" w:ascii="Times New Roman" w:hAnsi="Times New Roman" w:eastAsia="仿宋_GB2312" w:cs="Times New Roman"/>
                <w:kern w:val="0"/>
                <w:sz w:val="24"/>
                <w:szCs w:val="24"/>
                <w:lang w:val="en-US" w:eastAsia="zh-CN" w:bidi="ar"/>
              </w:rPr>
              <w:t>Al</w:t>
            </w:r>
            <w:r>
              <w:rPr>
                <w:rFonts w:hint="eastAsia" w:ascii="Times New Roman" w:hAnsi="Times New Roman" w:eastAsia="仿宋_GB2312" w:cs="仿宋_GB2312"/>
                <w:kern w:val="0"/>
                <w:sz w:val="24"/>
                <w:szCs w:val="24"/>
                <w:lang w:val="en-US" w:eastAsia="zh-CN" w:bidi="ar"/>
              </w:rPr>
              <w:t>计）</w:t>
            </w:r>
          </w:p>
        </w:tc>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11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抽样量不低于</w:t>
            </w:r>
            <w:r>
              <w:rPr>
                <w:rFonts w:hint="default" w:ascii="Times New Roman" w:hAnsi="Times New Roman" w:eastAsia="仿宋_GB2312" w:cs="Times New Roman"/>
                <w:kern w:val="0"/>
                <w:sz w:val="24"/>
                <w:szCs w:val="24"/>
                <w:lang w:val="en-US" w:eastAsia="zh-CN" w:bidi="ar"/>
              </w:rPr>
              <w:t>600g</w:t>
            </w:r>
            <w:r>
              <w:rPr>
                <w:rFonts w:hint="eastAsia" w:ascii="Times New Roman" w:hAnsi="Times New Roman" w:eastAsia="仿宋_GB2312" w:cs="仿宋_GB2312"/>
                <w:kern w:val="0"/>
                <w:sz w:val="24"/>
                <w:szCs w:val="24"/>
                <w:lang w:val="en-US" w:eastAsia="zh-CN" w:bidi="ar"/>
              </w:rPr>
              <w:t>，其中检样</w:t>
            </w:r>
            <w:r>
              <w:rPr>
                <w:rFonts w:hint="default" w:ascii="Times New Roman" w:hAnsi="Times New Roman" w:eastAsia="仿宋_GB2312" w:cs="Times New Roman"/>
                <w:kern w:val="0"/>
                <w:sz w:val="24"/>
                <w:szCs w:val="24"/>
                <w:lang w:val="en-US" w:eastAsia="zh-CN" w:bidi="ar"/>
              </w:rPr>
              <w:t>400g</w:t>
            </w:r>
            <w:r>
              <w:rPr>
                <w:rFonts w:hint="eastAsia" w:ascii="Times New Roman" w:hAnsi="Times New Roman" w:eastAsia="仿宋_GB2312" w:cs="仿宋_GB2312"/>
                <w:kern w:val="0"/>
                <w:sz w:val="24"/>
                <w:szCs w:val="24"/>
                <w:lang w:val="en-US" w:eastAsia="zh-CN" w:bidi="ar"/>
              </w:rPr>
              <w:t>，备样</w:t>
            </w:r>
            <w:r>
              <w:rPr>
                <w:rFonts w:hint="default" w:ascii="Times New Roman" w:hAnsi="Times New Roman" w:eastAsia="仿宋_GB2312" w:cs="Times New Roman"/>
                <w:kern w:val="0"/>
                <w:sz w:val="24"/>
                <w:szCs w:val="24"/>
                <w:lang w:val="en-US" w:eastAsia="zh-CN" w:bidi="ar"/>
              </w:rPr>
              <w:t>200g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8" w:hRule="atLeast"/>
          <w:jc w:val="center"/>
        </w:trPr>
        <w:tc>
          <w:tcPr>
            <w:tcW w:w="1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9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2"/>
                <w:sz w:val="24"/>
                <w:szCs w:val="24"/>
                <w:lang w:val="en-US" w:eastAsia="zh-CN" w:bidi="ar"/>
              </w:rPr>
              <w:t>馒头花卷（自制）</w:t>
            </w:r>
          </w:p>
        </w:tc>
        <w:tc>
          <w:tcPr>
            <w:tcW w:w="86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bookmarkStart w:id="2" w:name="_GoBack"/>
            <w:bookmarkEnd w:id="2"/>
          </w:p>
        </w:tc>
        <w:tc>
          <w:tcPr>
            <w:tcW w:w="81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铝的残留量（干样品，以</w:t>
            </w:r>
            <w:r>
              <w:rPr>
                <w:rFonts w:hint="default" w:ascii="Times New Roman" w:hAnsi="Times New Roman" w:eastAsia="仿宋_GB2312" w:cs="Times New Roman"/>
                <w:kern w:val="0"/>
                <w:sz w:val="24"/>
                <w:szCs w:val="24"/>
                <w:lang w:val="en-US" w:eastAsia="zh-CN" w:bidi="ar"/>
              </w:rPr>
              <w:t>Al</w:t>
            </w:r>
            <w:r>
              <w:rPr>
                <w:rFonts w:hint="eastAsia" w:ascii="Times New Roman" w:hAnsi="Times New Roman" w:eastAsia="仿宋_GB2312" w:cs="仿宋_GB2312"/>
                <w:kern w:val="0"/>
                <w:sz w:val="24"/>
                <w:szCs w:val="24"/>
                <w:lang w:val="en-US" w:eastAsia="zh-CN" w:bidi="ar"/>
              </w:rPr>
              <w:t>计）、甜蜜素（以环己基氨基磺酸计）</w:t>
            </w:r>
          </w:p>
        </w:tc>
        <w:tc>
          <w:tcPr>
            <w:tcW w:w="1047"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115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抽样量不低于</w:t>
            </w:r>
            <w:r>
              <w:rPr>
                <w:rFonts w:hint="default" w:ascii="Times New Roman" w:hAnsi="Times New Roman" w:eastAsia="仿宋_GB2312" w:cs="Times New Roman"/>
                <w:kern w:val="0"/>
                <w:sz w:val="24"/>
                <w:szCs w:val="24"/>
                <w:lang w:val="en-US" w:eastAsia="zh-CN" w:bidi="ar"/>
              </w:rPr>
              <w:t>600g</w:t>
            </w:r>
            <w:r>
              <w:rPr>
                <w:rFonts w:hint="eastAsia" w:ascii="Times New Roman" w:hAnsi="Times New Roman" w:eastAsia="仿宋_GB2312" w:cs="仿宋_GB2312"/>
                <w:kern w:val="0"/>
                <w:sz w:val="24"/>
                <w:szCs w:val="24"/>
                <w:lang w:val="en-US" w:eastAsia="zh-CN" w:bidi="ar"/>
              </w:rPr>
              <w:t>，其中检样</w:t>
            </w:r>
            <w:r>
              <w:rPr>
                <w:rFonts w:hint="default" w:ascii="Times New Roman" w:hAnsi="Times New Roman" w:eastAsia="仿宋_GB2312" w:cs="Times New Roman"/>
                <w:kern w:val="0"/>
                <w:sz w:val="24"/>
                <w:szCs w:val="24"/>
                <w:lang w:val="en-US" w:eastAsia="zh-CN" w:bidi="ar"/>
              </w:rPr>
              <w:t>400g</w:t>
            </w:r>
            <w:r>
              <w:rPr>
                <w:rFonts w:hint="eastAsia" w:ascii="Times New Roman" w:hAnsi="Times New Roman" w:eastAsia="仿宋_GB2312" w:cs="仿宋_GB2312"/>
                <w:kern w:val="0"/>
                <w:sz w:val="24"/>
                <w:szCs w:val="24"/>
                <w:lang w:val="en-US" w:eastAsia="zh-CN" w:bidi="ar"/>
              </w:rPr>
              <w:t>，备样</w:t>
            </w:r>
            <w:r>
              <w:rPr>
                <w:rFonts w:hint="default" w:ascii="Times New Roman" w:hAnsi="Times New Roman" w:eastAsia="仿宋_GB2312" w:cs="Times New Roman"/>
                <w:kern w:val="0"/>
                <w:sz w:val="24"/>
                <w:szCs w:val="24"/>
                <w:lang w:val="en-US" w:eastAsia="zh-CN" w:bidi="ar"/>
              </w:rPr>
              <w:t>200g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8" w:hRule="atLeast"/>
          <w:jc w:val="center"/>
        </w:trPr>
        <w:tc>
          <w:tcPr>
            <w:tcW w:w="16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9"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9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包子（自制）</w:t>
            </w:r>
          </w:p>
        </w:tc>
        <w:tc>
          <w:tcPr>
            <w:tcW w:w="86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813"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铝的残留量（干样品，以</w:t>
            </w:r>
            <w:r>
              <w:rPr>
                <w:rFonts w:hint="default" w:ascii="Times New Roman" w:hAnsi="Times New Roman" w:eastAsia="仿宋_GB2312" w:cs="Times New Roman"/>
                <w:kern w:val="0"/>
                <w:sz w:val="24"/>
                <w:szCs w:val="24"/>
                <w:lang w:val="en-US" w:eastAsia="zh-CN" w:bidi="ar"/>
              </w:rPr>
              <w:t>Al</w:t>
            </w:r>
            <w:r>
              <w:rPr>
                <w:rFonts w:hint="eastAsia" w:ascii="Times New Roman" w:hAnsi="Times New Roman" w:eastAsia="仿宋_GB2312" w:cs="仿宋_GB2312"/>
                <w:kern w:val="0"/>
                <w:sz w:val="24"/>
                <w:szCs w:val="24"/>
                <w:lang w:val="en-US" w:eastAsia="zh-CN" w:bidi="ar"/>
              </w:rPr>
              <w:t>计）、甜蜜素（以环己基氨基磺酸计）</w:t>
            </w:r>
          </w:p>
        </w:tc>
        <w:tc>
          <w:tcPr>
            <w:tcW w:w="10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1153"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抽样量不低于</w:t>
            </w:r>
            <w:r>
              <w:rPr>
                <w:rFonts w:hint="default" w:ascii="Times New Roman" w:hAnsi="Times New Roman" w:eastAsia="仿宋_GB2312" w:cs="Times New Roman"/>
                <w:kern w:val="0"/>
                <w:sz w:val="24"/>
                <w:szCs w:val="24"/>
                <w:lang w:val="en-US" w:eastAsia="zh-CN" w:bidi="ar"/>
              </w:rPr>
              <w:t>600g</w:t>
            </w:r>
            <w:r>
              <w:rPr>
                <w:rFonts w:hint="eastAsia" w:ascii="Times New Roman" w:hAnsi="Times New Roman" w:eastAsia="仿宋_GB2312" w:cs="仿宋_GB2312"/>
                <w:kern w:val="0"/>
                <w:sz w:val="24"/>
                <w:szCs w:val="24"/>
                <w:lang w:val="en-US" w:eastAsia="zh-CN" w:bidi="ar"/>
              </w:rPr>
              <w:t>，其中检样</w:t>
            </w:r>
            <w:r>
              <w:rPr>
                <w:rFonts w:hint="default" w:ascii="Times New Roman" w:hAnsi="Times New Roman" w:eastAsia="仿宋_GB2312" w:cs="Times New Roman"/>
                <w:kern w:val="0"/>
                <w:sz w:val="24"/>
                <w:szCs w:val="24"/>
                <w:lang w:val="en-US" w:eastAsia="zh-CN" w:bidi="ar"/>
              </w:rPr>
              <w:t>400g</w:t>
            </w:r>
            <w:r>
              <w:rPr>
                <w:rFonts w:hint="eastAsia" w:ascii="Times New Roman" w:hAnsi="Times New Roman" w:eastAsia="仿宋_GB2312" w:cs="仿宋_GB2312"/>
                <w:kern w:val="0"/>
                <w:sz w:val="24"/>
                <w:szCs w:val="24"/>
                <w:lang w:val="en-US" w:eastAsia="zh-CN" w:bidi="ar"/>
              </w:rPr>
              <w:t>，备样</w:t>
            </w:r>
            <w:r>
              <w:rPr>
                <w:rFonts w:hint="default" w:ascii="Times New Roman" w:hAnsi="Times New Roman" w:eastAsia="仿宋_GB2312" w:cs="Times New Roman"/>
                <w:kern w:val="0"/>
                <w:sz w:val="24"/>
                <w:szCs w:val="24"/>
                <w:lang w:val="en-US" w:eastAsia="zh-CN" w:bidi="ar"/>
              </w:rPr>
              <w:t>200g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70" w:hRule="atLeast"/>
          <w:jc w:val="center"/>
        </w:trPr>
        <w:tc>
          <w:tcPr>
            <w:tcW w:w="16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6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复用餐饮具</w:t>
            </w:r>
          </w:p>
        </w:tc>
        <w:tc>
          <w:tcPr>
            <w:tcW w:w="39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复用餐饮具（餐馆自行消毒）</w:t>
            </w:r>
          </w:p>
        </w:tc>
        <w:tc>
          <w:tcPr>
            <w:tcW w:w="86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阴离子合成洗涤剂、大肠菌群</w:t>
            </w:r>
          </w:p>
        </w:tc>
        <w:tc>
          <w:tcPr>
            <w:tcW w:w="813"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bidi="ar"/>
              </w:rPr>
              <w:t>/</w:t>
            </w:r>
          </w:p>
        </w:tc>
        <w:tc>
          <w:tcPr>
            <w:tcW w:w="10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所有使用过化学洗涤剂进行清洗消毒的复用餐饮具均视为使用了化学消毒法，并需进行阴离子合成洗涤剂项目的检验。原则上该食品类别应现场取样并尽快送达实验室</w:t>
            </w:r>
          </w:p>
        </w:tc>
        <w:tc>
          <w:tcPr>
            <w:tcW w:w="1153"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仿宋_GB2312" w:cs="Times New Roman"/>
                <w:kern w:val="0"/>
                <w:sz w:val="24"/>
                <w:szCs w:val="24"/>
                <w:lang w:val="en-US"/>
              </w:rPr>
            </w:pPr>
            <w:r>
              <w:rPr>
                <w:rFonts w:hint="eastAsia" w:ascii="Times New Roman" w:hAnsi="Times New Roman" w:eastAsia="仿宋_GB2312" w:cs="仿宋_GB2312"/>
                <w:kern w:val="0"/>
                <w:sz w:val="24"/>
                <w:szCs w:val="24"/>
                <w:lang w:val="en-US" w:eastAsia="zh-CN" w:bidi="ar"/>
              </w:rPr>
              <w:t>检验样液和备份样液均不低于</w:t>
            </w:r>
            <w:r>
              <w:rPr>
                <w:rFonts w:hint="default" w:ascii="Times New Roman" w:hAnsi="Times New Roman" w:eastAsia="仿宋_GB2312" w:cs="Times New Roman"/>
                <w:kern w:val="0"/>
                <w:sz w:val="24"/>
                <w:szCs w:val="24"/>
                <w:lang w:val="en-US" w:eastAsia="zh-CN" w:bidi="ar"/>
              </w:rPr>
              <w:t>200ml</w:t>
            </w:r>
          </w:p>
        </w:tc>
      </w:tr>
    </w:tbl>
    <w:p>
      <w:pPr>
        <w:pStyle w:val="2"/>
        <w:rPr>
          <w:rFonts w:hint="default"/>
          <w:lang w:val="en-US"/>
        </w:rPr>
      </w:pPr>
    </w:p>
    <w:p>
      <w:pPr>
        <w:suppressAutoHyphens/>
        <w:spacing w:line="640" w:lineRule="exact"/>
        <w:jc w:val="center"/>
      </w:pPr>
    </w:p>
    <w:sectPr>
      <w:footerReference r:id="rId3" w:type="default"/>
      <w:pgSz w:w="16838" w:h="11906" w:orient="landscape"/>
      <w:pgMar w:top="13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MmYwZTY2MjEyN2Q4MjkxOWM0NmMzNzUyNjJlNmQifQ=="/>
  </w:docVars>
  <w:rsids>
    <w:rsidRoot w:val="1A9D4A9C"/>
    <w:rsid w:val="00004A80"/>
    <w:rsid w:val="000059B2"/>
    <w:rsid w:val="00062190"/>
    <w:rsid w:val="0020598D"/>
    <w:rsid w:val="002061E8"/>
    <w:rsid w:val="00212058"/>
    <w:rsid w:val="002D55A5"/>
    <w:rsid w:val="00313060"/>
    <w:rsid w:val="003A215B"/>
    <w:rsid w:val="00403375"/>
    <w:rsid w:val="007B26AB"/>
    <w:rsid w:val="00850CD3"/>
    <w:rsid w:val="008D3553"/>
    <w:rsid w:val="0097533C"/>
    <w:rsid w:val="00A43600"/>
    <w:rsid w:val="00A51798"/>
    <w:rsid w:val="00AF136A"/>
    <w:rsid w:val="00AF3992"/>
    <w:rsid w:val="00C671E5"/>
    <w:rsid w:val="00CF6796"/>
    <w:rsid w:val="00E2108C"/>
    <w:rsid w:val="1A9D4A9C"/>
    <w:rsid w:val="1CED606A"/>
    <w:rsid w:val="57B67107"/>
    <w:rsid w:val="6FC7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link w:val="12"/>
    <w:qFormat/>
    <w:uiPriority w:val="0"/>
    <w:pPr>
      <w:jc w:val="center"/>
    </w:pPr>
    <w:rPr>
      <w:rFonts w:ascii="Times New Roman" w:hAnsi="Times New Roman" w:eastAsia="华文中宋"/>
      <w:b/>
      <w:bCs/>
      <w:color w:val="FF0000"/>
      <w:spacing w:val="52"/>
      <w:w w:val="80"/>
      <w:kern w:val="0"/>
      <w:sz w:val="72"/>
      <w:szCs w:val="20"/>
    </w:rPr>
  </w:style>
  <w:style w:type="paragraph" w:styleId="4">
    <w:name w:val="Body Text Indent"/>
    <w:basedOn w:val="1"/>
    <w:link w:val="11"/>
    <w:qFormat/>
    <w:uiPriority w:val="0"/>
    <w:pPr>
      <w:ind w:firstLine="627" w:firstLineChars="196"/>
    </w:pPr>
    <w:rPr>
      <w:rFonts w:eastAsia="仿宋_GB2312"/>
      <w:sz w:val="32"/>
      <w:szCs w:val="24"/>
    </w:rPr>
  </w:style>
  <w:style w:type="paragraph" w:styleId="5">
    <w:name w:val="footer"/>
    <w:basedOn w:val="1"/>
    <w:link w:val="16"/>
    <w:qFormat/>
    <w:uiPriority w:val="0"/>
    <w:pPr>
      <w:tabs>
        <w:tab w:val="center" w:pos="4153"/>
        <w:tab w:val="right" w:pos="8306"/>
      </w:tabs>
      <w:suppressAutoHyphens/>
      <w:snapToGrid w:val="0"/>
      <w:jc w:val="left"/>
    </w:pPr>
    <w:rPr>
      <w:kern w:val="1"/>
      <w:sz w:val="18"/>
      <w:szCs w:val="18"/>
      <w:lang w:eastAsia="ar-SA"/>
    </w:rPr>
  </w:style>
  <w:style w:type="paragraph" w:styleId="6">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0">
    <w:name w:val="page number"/>
    <w:qFormat/>
    <w:uiPriority w:val="0"/>
  </w:style>
  <w:style w:type="character" w:customStyle="1" w:styleId="11">
    <w:name w:val="正文文本缩进 Char"/>
    <w:basedOn w:val="9"/>
    <w:link w:val="4"/>
    <w:qFormat/>
    <w:uiPriority w:val="0"/>
    <w:rPr>
      <w:rFonts w:eastAsia="仿宋_GB2312"/>
      <w:kern w:val="2"/>
      <w:sz w:val="32"/>
      <w:szCs w:val="24"/>
    </w:rPr>
  </w:style>
  <w:style w:type="character" w:customStyle="1" w:styleId="12">
    <w:name w:val="正文文本 Char"/>
    <w:basedOn w:val="9"/>
    <w:link w:val="3"/>
    <w:qFormat/>
    <w:uiPriority w:val="0"/>
    <w:rPr>
      <w:rFonts w:ascii="Times New Roman" w:hAnsi="Times New Roman" w:eastAsia="华文中宋"/>
      <w:b/>
      <w:bCs/>
      <w:color w:val="FF0000"/>
      <w:spacing w:val="52"/>
      <w:w w:val="80"/>
      <w:sz w:val="72"/>
    </w:rPr>
  </w:style>
  <w:style w:type="paragraph" w:customStyle="1" w:styleId="13">
    <w:name w:val="列出段落1"/>
    <w:basedOn w:val="1"/>
    <w:qFormat/>
    <w:uiPriority w:val="0"/>
    <w:pPr>
      <w:autoSpaceDE w:val="0"/>
      <w:autoSpaceDN w:val="0"/>
      <w:spacing w:before="1" w:after="100" w:afterAutospacing="1"/>
      <w:ind w:left="928" w:firstLine="480"/>
      <w:jc w:val="left"/>
    </w:pPr>
    <w:rPr>
      <w:rFonts w:ascii="宋体" w:hAnsi="宋体" w:cs="宋体"/>
      <w:kern w:val="0"/>
      <w:sz w:val="22"/>
    </w:rPr>
  </w:style>
  <w:style w:type="paragraph" w:customStyle="1" w:styleId="14">
    <w:name w:val="列表段落"/>
    <w:basedOn w:val="1"/>
    <w:qFormat/>
    <w:uiPriority w:val="0"/>
    <w:pPr>
      <w:ind w:firstLine="420" w:firstLineChars="200"/>
    </w:pPr>
    <w:rPr>
      <w:rFonts w:ascii="Times New Roman" w:hAnsi="Times New Roman"/>
      <w:szCs w:val="21"/>
    </w:rPr>
  </w:style>
  <w:style w:type="character" w:customStyle="1" w:styleId="15">
    <w:name w:val="页眉 Char"/>
    <w:basedOn w:val="9"/>
    <w:link w:val="6"/>
    <w:qFormat/>
    <w:uiPriority w:val="0"/>
    <w:rPr>
      <w:kern w:val="2"/>
      <w:sz w:val="18"/>
      <w:szCs w:val="22"/>
    </w:rPr>
  </w:style>
  <w:style w:type="character" w:customStyle="1" w:styleId="16">
    <w:name w:val="页脚 Char"/>
    <w:basedOn w:val="9"/>
    <w:link w:val="5"/>
    <w:qFormat/>
    <w:uiPriority w:val="0"/>
    <w:rPr>
      <w:kern w:val="1"/>
      <w:sz w:val="18"/>
      <w:szCs w:val="18"/>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920</Words>
  <Characters>928</Characters>
  <Lines>20</Lines>
  <Paragraphs>5</Paragraphs>
  <TotalTime>1</TotalTime>
  <ScaleCrop>false</ScaleCrop>
  <LinksUpToDate>false</LinksUpToDate>
  <CharactersWithSpaces>929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2019-10-18T07:13:00Z</dcterms:created>
  <dc:creator>Administrator</dc:creator>
  <cp:lastModifiedBy>来宾市工商局</cp:lastModifiedBy>
  <dcterms:modified xsi:type="dcterms:W3CDTF">2022-10-27T03:29:07Z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AE85F09053294E7CAA0E7EEA5FEE460A</vt:lpwstr>
  </property>
</Properties>
</file>