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pStyle w:val="2"/>
        <w:keepNext w:val="0"/>
        <w:keepLines w:val="0"/>
        <w:pageBreakBefore w:val="0"/>
        <w:kinsoku/>
        <w:wordWrap/>
        <w:topLinePunct w:val="0"/>
        <w:autoSpaceDE/>
        <w:autoSpaceDN/>
        <w:bidi w:val="0"/>
        <w:adjustRightInd/>
        <w:snapToGrid/>
        <w:spacing w:line="600" w:lineRule="exact"/>
        <w:ind w:left="0" w:leftChars="0" w:firstLine="640" w:firstLineChars="200"/>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一、4-氯苯氧乙酸钠(以4-氯苯氧乙酸计)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olor w:val="000000"/>
          <w:kern w:val="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氯苯氧乙酸钠是一种植物生长调节剂，曾在豆芽生产中被广泛使用，由于其对人体有一定积累毒性，《国家食品药品监督管理总局 农业部 国家卫生和计划生育委员会关于豆芽生产过程中禁止使用6-苄基腺嘌呤等物质的公告》（2015年第11号）中规定，生产者不得在豆芽生产过程中使用4-氯苯氧乙酸钠、赤霉素等物质，豆芽经营者不得经营含有4-氯苯氧乙酸钠、赤霉素等物质的豆芽。生产者为了抑制豆芽生根，提高豆芽产量而违规使用，导致在豆芽中检出4-氯苯氧乙酸钠</w:t>
      </w:r>
      <w:r>
        <w:rPr>
          <w:rFonts w:hint="eastAsia" w:ascii="仿宋_GB2312" w:hAnsi="Times New Roman" w:eastAsia="仿宋_GB2312"/>
          <w:color w:val="000000"/>
          <w:kern w:val="2"/>
          <w:sz w:val="32"/>
          <w:szCs w:val="32"/>
          <w:lang w:eastAsia="zh-CN"/>
        </w:rPr>
        <w:t>。</w:t>
      </w:r>
    </w:p>
    <w:p>
      <w:pPr>
        <w:pStyle w:val="2"/>
        <w:keepNext w:val="0"/>
        <w:keepLines w:val="0"/>
        <w:pageBreakBefore w:val="0"/>
        <w:kinsoku/>
        <w:wordWrap/>
        <w:topLinePunct w:val="0"/>
        <w:autoSpaceDE/>
        <w:autoSpaceDN/>
        <w:bidi w:val="0"/>
        <w:adjustRightInd/>
        <w:snapToGrid/>
        <w:spacing w:line="600" w:lineRule="exact"/>
        <w:ind w:left="0" w:leftChars="0" w:firstLine="640" w:firstLineChars="200"/>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二、毒死蜱</w:t>
      </w:r>
    </w:p>
    <w:p>
      <w:pPr>
        <w:pStyle w:val="2"/>
        <w:keepNext w:val="0"/>
        <w:keepLines w:val="0"/>
        <w:pageBreakBefore w:val="0"/>
        <w:numPr>
          <w:ilvl w:val="0"/>
          <w:numId w:val="0"/>
        </w:numPr>
        <w:kinsoku/>
        <w:wordWrap/>
        <w:topLinePunct w:val="0"/>
        <w:autoSpaceDE/>
        <w:autoSpaceDN/>
        <w:bidi w:val="0"/>
        <w:adjustRightInd/>
        <w:snapToGrid/>
        <w:spacing w:line="600" w:lineRule="exact"/>
        <w:ind w:firstLine="640" w:firstLineChars="200"/>
        <w:textAlignment w:val="auto"/>
        <w:rPr>
          <w:rFonts w:hint="eastAsia" w:ascii="仿宋_GB2312" w:eastAsia="仿宋_GB2312"/>
          <w:kern w:val="2"/>
          <w:sz w:val="32"/>
          <w:szCs w:val="32"/>
          <w:lang w:eastAsia="zh-CN"/>
        </w:rPr>
      </w:pPr>
      <w:r>
        <w:rPr>
          <w:rFonts w:hint="eastAsia" w:ascii="仿宋_GB2312" w:eastAsia="仿宋_GB2312"/>
          <w:kern w:val="2"/>
          <w:sz w:val="32"/>
          <w:szCs w:val="32"/>
        </w:rPr>
        <w:t>毒死蜱是一种具有触杀、胃毒和熏蒸作用的有机磷杀虫剂。《食品安全国家标准 食品中农药最大残留限量》（GB 2763-20</w:t>
      </w:r>
      <w:r>
        <w:rPr>
          <w:rFonts w:hint="eastAsia" w:ascii="仿宋_GB2312" w:eastAsia="仿宋_GB2312"/>
          <w:kern w:val="2"/>
          <w:sz w:val="32"/>
          <w:szCs w:val="32"/>
          <w:lang w:val="en-US" w:eastAsia="zh-CN"/>
        </w:rPr>
        <w:t>21</w:t>
      </w:r>
      <w:r>
        <w:rPr>
          <w:rFonts w:hint="eastAsia" w:ascii="仿宋_GB2312" w:eastAsia="仿宋_GB2312"/>
          <w:kern w:val="2"/>
          <w:sz w:val="32"/>
          <w:szCs w:val="32"/>
        </w:rPr>
        <w:t>）中规定，毒死蜱在</w:t>
      </w:r>
      <w:r>
        <w:rPr>
          <w:rFonts w:hint="eastAsia" w:ascii="仿宋_GB2312" w:eastAsia="仿宋_GB2312"/>
          <w:kern w:val="2"/>
          <w:sz w:val="32"/>
          <w:szCs w:val="32"/>
          <w:lang w:val="en-US" w:eastAsia="zh-CN"/>
        </w:rPr>
        <w:t>叶菜类</w:t>
      </w:r>
      <w:r>
        <w:rPr>
          <w:rFonts w:hint="eastAsia" w:ascii="仿宋_GB2312" w:eastAsia="仿宋_GB2312"/>
          <w:kern w:val="2"/>
          <w:sz w:val="32"/>
          <w:szCs w:val="32"/>
        </w:rPr>
        <w:t>的最大残留限量为0.02mg/kg。</w:t>
      </w:r>
      <w:r>
        <w:rPr>
          <w:rFonts w:hint="eastAsia" w:ascii="仿宋_GB2312" w:hAnsi="仿宋_GB2312" w:eastAsia="仿宋_GB2312" w:cs="仿宋_GB2312"/>
          <w:color w:val="000000"/>
          <w:kern w:val="2"/>
          <w:sz w:val="32"/>
          <w:szCs w:val="32"/>
          <w:lang w:val="en-US" w:eastAsia="zh-CN"/>
        </w:rPr>
        <w:t>超标的原因</w:t>
      </w:r>
      <w:r>
        <w:rPr>
          <w:rFonts w:hint="eastAsia" w:ascii="仿宋_GB2312" w:hAnsi="仿宋_GB2312" w:eastAsia="仿宋_GB2312" w:cs="仿宋_GB2312"/>
          <w:color w:val="000000"/>
          <w:sz w:val="32"/>
          <w:szCs w:val="32"/>
        </w:rPr>
        <w:t>可能是菜农违规使用</w:t>
      </w:r>
      <w:bookmarkStart w:id="0" w:name="_GoBack"/>
      <w:bookmarkEnd w:id="0"/>
      <w:r>
        <w:rPr>
          <w:rFonts w:hint="eastAsia" w:ascii="仿宋_GB2312" w:hAnsi="仿宋_GB2312" w:eastAsia="仿宋_GB2312" w:cs="仿宋_GB2312"/>
          <w:color w:val="000000"/>
          <w:sz w:val="32"/>
          <w:szCs w:val="32"/>
        </w:rPr>
        <w:t>。</w:t>
      </w:r>
      <w:r>
        <w:rPr>
          <w:rFonts w:hint="eastAsia" w:ascii="仿宋_GB2312" w:eastAsia="仿宋_GB2312"/>
          <w:kern w:val="2"/>
          <w:sz w:val="32"/>
          <w:szCs w:val="32"/>
        </w:rPr>
        <w:t>少量的农药残留不会引起人体急性中毒，但长期食用农药残留超标的食品，对人体健康可能有一定影响</w:t>
      </w:r>
      <w:r>
        <w:rPr>
          <w:rFonts w:hint="eastAsia" w:ascii="仿宋_GB2312" w:eastAsia="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三、酒精度</w:t>
      </w:r>
    </w:p>
    <w:p>
      <w:pPr>
        <w:spacing w:line="360" w:lineRule="auto"/>
        <w:ind w:firstLine="640" w:firstLineChars="200"/>
        <w:rPr>
          <w:rFonts w:hint="eastAsia" w:ascii="仿宋_GB2312" w:hAnsi="仿宋" w:eastAsia="仿宋_GB2312" w:cs="仿宋"/>
          <w:color w:val="000000"/>
          <w:kern w:val="0"/>
          <w:sz w:val="32"/>
          <w:szCs w:val="32"/>
          <w:lang w:val="en-US" w:eastAsia="zh-CN" w:bidi="ar-SA"/>
        </w:rPr>
      </w:pPr>
      <w:r>
        <w:rPr>
          <w:rFonts w:hint="eastAsia" w:ascii="仿宋_GB2312" w:hAnsi="仿宋" w:eastAsia="仿宋_GB2312" w:cs="仿宋"/>
          <w:color w:val="000000"/>
          <w:kern w:val="0"/>
          <w:sz w:val="32"/>
          <w:szCs w:val="32"/>
          <w:lang w:val="en-US" w:eastAsia="zh-CN" w:bidi="ar-SA"/>
        </w:rPr>
        <w:t>酒精度又称酒度，是指在20℃时，100毫升酒中含有乙醇（酒精）的毫升数，即体积（容量）的百分数。酒精度是酒的一个理化指标，酒精度含量应符合其标签明示值±1.0%vol。造成不合格的原因，可能是部分生产企业质量控制不当，包装不严密造成酒精挥发；或者企业检验能力不足造成检验结果偏差；还有可能生产企业为了盈利，低度酒冒充高度酒售卖。</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四、二氧化硫残留量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二氧化硫（以及焦亚硫酸钾、亚硫酸钠等添加剂）对食品有漂白、防腐和抗氧化作用，是食品加工中常用的漂白剂和防腐剂，使用后均产生二氧化硫残留。《食品安全国家标准 食品添加剂使用标准》（GB 2760-2014）中规定，蔬菜干制品中规定二氧化硫残留量的最大限量值为0.2g/kg。企业在加工过程中违规使用亚硫酸盐等漂白剂，以达到漂白和抗氧化的目的。摄入少量二氧化硫，可在人体内经酶转化后由尿液排出体外，一般不会对人体健康造成不良影响，但如果长期过量摄入二氧化硫，可能会对健康不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kern w:val="2"/>
          <w:sz w:val="32"/>
          <w:szCs w:val="32"/>
          <w:lang w:val="en-US" w:eastAsia="zh-CN" w:bidi="ar-SA"/>
        </w:rPr>
      </w:pPr>
      <w:r>
        <w:rPr>
          <w:rFonts w:hint="eastAsia" w:ascii="黑体" w:hAnsi="黑体" w:eastAsia="黑体"/>
          <w:kern w:val="0"/>
          <w:sz w:val="32"/>
          <w:szCs w:val="32"/>
          <w:lang w:val="en-US" w:eastAsia="zh-CN"/>
        </w:rPr>
        <w:t>五、</w:t>
      </w:r>
      <w:r>
        <w:rPr>
          <w:rFonts w:hint="eastAsia" w:ascii="黑体" w:hAnsi="黑体" w:eastAsia="黑体"/>
          <w:color w:val="000000"/>
          <w:sz w:val="32"/>
          <w:szCs w:val="32"/>
          <w:lang w:val="en-US" w:eastAsia="zh-CN"/>
        </w:rPr>
        <w:t>过氧化值（以脂肪计）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hAnsi="Times New Roman" w:eastAsia="仿宋_GB2312"/>
          <w:color w:val="000000"/>
          <w:kern w:val="2"/>
          <w:sz w:val="32"/>
          <w:szCs w:val="32"/>
          <w:lang w:val="en-US" w:eastAsia="zh-CN" w:bidi="ar-SA"/>
        </w:rPr>
        <w:t>过氧化值反映了食用油脂新鲜度和氧化酸败程度,一般来说过氧化值越高其酸败度越厉害。</w:t>
      </w:r>
      <w:r>
        <w:rPr>
          <w:rFonts w:hint="eastAsia" w:ascii="仿宋_GB2312" w:hAnsi="Calibri" w:eastAsia="仿宋_GB2312"/>
          <w:kern w:val="0"/>
          <w:sz w:val="32"/>
          <w:szCs w:val="32"/>
        </w:rPr>
        <w:t>《食品安全国家标准 坚果与籽类食品》（GB 19300-2014）中规定</w:t>
      </w:r>
      <w:r>
        <w:rPr>
          <w:rFonts w:hint="eastAsia" w:ascii="仿宋_GB2312" w:hAnsi="Calibri" w:eastAsia="仿宋_GB2312"/>
          <w:kern w:val="0"/>
          <w:sz w:val="32"/>
          <w:szCs w:val="32"/>
          <w:lang w:eastAsia="zh-CN"/>
        </w:rPr>
        <w:t>，</w:t>
      </w:r>
      <w:r>
        <w:rPr>
          <w:rFonts w:hint="eastAsia" w:ascii="仿宋_GB2312" w:hAnsi="Calibri" w:eastAsia="仿宋_GB2312"/>
          <w:kern w:val="0"/>
          <w:sz w:val="32"/>
          <w:szCs w:val="32"/>
          <w:lang w:val="en-US" w:eastAsia="zh-CN"/>
        </w:rPr>
        <w:t>松仁类的过氧化值最大限量值为</w:t>
      </w:r>
      <w:r>
        <w:rPr>
          <w:rFonts w:hint="eastAsia" w:ascii="仿宋_GB2312" w:hAnsi="Calibri" w:eastAsia="仿宋_GB2312"/>
          <w:kern w:val="0"/>
          <w:sz w:val="32"/>
          <w:szCs w:val="32"/>
        </w:rPr>
        <w:t>0.50g/100g</w:t>
      </w:r>
      <w:r>
        <w:rPr>
          <w:rFonts w:hint="eastAsia" w:ascii="仿宋_GB2312" w:hAnsi="Calibri" w:eastAsia="仿宋_GB2312"/>
          <w:kern w:val="0"/>
          <w:sz w:val="32"/>
          <w:szCs w:val="32"/>
          <w:lang w:val="en-US" w:eastAsia="zh-CN"/>
        </w:rPr>
        <w:t>；熟制瓜子的过氧化值最大限量值为</w:t>
      </w:r>
      <w:r>
        <w:rPr>
          <w:rFonts w:hint="eastAsia" w:ascii="仿宋_GB2312" w:hAnsi="Calibri" w:eastAsia="仿宋_GB2312"/>
          <w:kern w:val="0"/>
          <w:sz w:val="32"/>
          <w:szCs w:val="32"/>
        </w:rPr>
        <w:t>0.</w:t>
      </w:r>
      <w:r>
        <w:rPr>
          <w:rFonts w:hint="eastAsia" w:ascii="仿宋_GB2312" w:hAnsi="Calibri" w:eastAsia="仿宋_GB2312"/>
          <w:kern w:val="0"/>
          <w:sz w:val="32"/>
          <w:szCs w:val="32"/>
          <w:lang w:val="en-US" w:eastAsia="zh-CN"/>
        </w:rPr>
        <w:t>80</w:t>
      </w:r>
      <w:r>
        <w:rPr>
          <w:rFonts w:hint="eastAsia" w:ascii="仿宋_GB2312" w:hAnsi="Calibri" w:eastAsia="仿宋_GB2312"/>
          <w:kern w:val="0"/>
          <w:sz w:val="32"/>
          <w:szCs w:val="32"/>
        </w:rPr>
        <w:t>g/100g</w:t>
      </w:r>
      <w:r>
        <w:rPr>
          <w:rFonts w:hint="eastAsia" w:ascii="仿宋_GB2312" w:hAnsi="Calibri" w:eastAsia="仿宋_GB2312"/>
          <w:kern w:val="0"/>
          <w:sz w:val="32"/>
          <w:szCs w:val="32"/>
          <w:lang w:val="en-US" w:eastAsia="zh-CN"/>
        </w:rPr>
        <w:t>。</w:t>
      </w:r>
      <w:r>
        <w:rPr>
          <w:rFonts w:hint="eastAsia" w:ascii="仿宋_GB2312" w:hAnsi="Times New Roman" w:eastAsia="仿宋_GB2312"/>
          <w:color w:val="000000"/>
          <w:kern w:val="2"/>
          <w:sz w:val="32"/>
          <w:szCs w:val="32"/>
          <w:lang w:val="en-US" w:eastAsia="zh-CN" w:bidi="ar-SA"/>
        </w:rPr>
        <w:t>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Times New Roman"/>
          <w:color w:val="000000"/>
          <w:sz w:val="32"/>
          <w:szCs w:val="32"/>
          <w:lang w:val="en-US" w:eastAsia="zh-CN"/>
        </w:rPr>
      </w:pPr>
      <w:r>
        <w:rPr>
          <w:rFonts w:hint="eastAsia" w:ascii="黑体" w:hAnsi="黑体" w:eastAsia="黑体"/>
          <w:kern w:val="0"/>
          <w:sz w:val="32"/>
          <w:szCs w:val="32"/>
          <w:lang w:val="en-US" w:eastAsia="zh-CN"/>
        </w:rPr>
        <w:t>六、</w:t>
      </w:r>
      <w:r>
        <w:rPr>
          <w:rFonts w:hint="eastAsia" w:ascii="黑体" w:hAnsi="黑体" w:eastAsia="黑体" w:cs="Times New Roman"/>
          <w:color w:val="000000"/>
          <w:sz w:val="32"/>
          <w:szCs w:val="32"/>
          <w:lang w:val="en-US" w:eastAsia="zh-CN"/>
        </w:rPr>
        <w:t>酸价(以脂肪计)</w:t>
      </w:r>
    </w:p>
    <w:p>
      <w:pPr>
        <w:pStyle w:val="2"/>
        <w:keepNext w:val="0"/>
        <w:keepLines w:val="0"/>
        <w:pageBreakBefore w:val="0"/>
        <w:kinsoku/>
        <w:wordWrap/>
        <w:topLinePunct w:val="0"/>
        <w:autoSpaceDE/>
        <w:autoSpaceDN/>
        <w:bidi w:val="0"/>
        <w:adjustRightInd/>
        <w:snapToGrid/>
        <w:spacing w:after="0" w:line="600" w:lineRule="exact"/>
        <w:ind w:left="0" w:leftChars="0" w:firstLine="640"/>
        <w:textAlignment w:val="auto"/>
        <w:rPr>
          <w:rFonts w:ascii="仿宋_GB2312" w:hAnsi="宋体" w:eastAsia="仿宋_GB2312" w:cs="Times New Roman"/>
          <w:sz w:val="32"/>
          <w:szCs w:val="32"/>
        </w:rPr>
      </w:pPr>
      <w:r>
        <w:rPr>
          <w:rFonts w:ascii="仿宋_GB2312" w:hAnsi="宋体" w:eastAsia="仿宋_GB2312" w:cs="Times New Roman"/>
          <w:sz w:val="32"/>
          <w:szCs w:val="32"/>
        </w:rPr>
        <w:t>酸价主要反映食品中油脂的</w:t>
      </w:r>
      <w:r>
        <w:rPr>
          <w:rFonts w:hint="eastAsia" w:ascii="仿宋_GB2312" w:hAnsi="宋体" w:eastAsia="仿宋_GB2312" w:cs="Times New Roman"/>
          <w:sz w:val="32"/>
          <w:szCs w:val="32"/>
        </w:rPr>
        <w:t>酸败</w:t>
      </w:r>
      <w:r>
        <w:rPr>
          <w:rFonts w:ascii="仿宋_GB2312" w:hAnsi="宋体" w:eastAsia="仿宋_GB2312" w:cs="Times New Roman"/>
          <w:sz w:val="32"/>
          <w:szCs w:val="32"/>
        </w:rPr>
        <w:t>程度</w:t>
      </w:r>
      <w:r>
        <w:rPr>
          <w:rFonts w:hint="eastAsia" w:ascii="仿宋_GB2312" w:hAnsi="宋体" w:eastAsia="仿宋_GB2312" w:cs="Times New Roman"/>
          <w:sz w:val="32"/>
          <w:szCs w:val="32"/>
        </w:rPr>
        <w:t>，</w:t>
      </w:r>
      <w:r>
        <w:rPr>
          <w:rFonts w:ascii="仿宋_GB2312" w:hAnsi="宋体" w:eastAsia="仿宋_GB2312" w:cs="Times New Roman"/>
          <w:sz w:val="32"/>
          <w:szCs w:val="32"/>
        </w:rPr>
        <w:t>油脂酸败产生的醛、酮类化合物长期摄入会对健康有一定影响</w:t>
      </w:r>
      <w:r>
        <w:rPr>
          <w:rFonts w:hint="eastAsia" w:ascii="仿宋_GB2312" w:hAnsi="宋体" w:eastAsia="仿宋_GB2312" w:cs="Times New Roman"/>
          <w:sz w:val="32"/>
          <w:szCs w:val="32"/>
        </w:rPr>
        <w:t>。一般情况下，酸价超标的</w:t>
      </w:r>
      <w:r>
        <w:rPr>
          <w:rFonts w:ascii="仿宋_GB2312" w:eastAsia="仿宋_GB2312" w:cs="Times New Roman"/>
          <w:sz w:val="32"/>
          <w:szCs w:val="32"/>
        </w:rPr>
        <w:t>食品</w:t>
      </w:r>
      <w:r>
        <w:rPr>
          <w:rFonts w:hint="eastAsia" w:ascii="仿宋_GB2312" w:hAnsi="宋体" w:eastAsia="仿宋_GB2312" w:cs="Times New Roman"/>
          <w:sz w:val="32"/>
          <w:szCs w:val="32"/>
        </w:rPr>
        <w:t>，消费者在食用过程中能明显</w:t>
      </w:r>
      <w:r>
        <w:rPr>
          <w:rFonts w:ascii="仿宋_GB2312" w:hAnsi="宋体" w:eastAsia="仿宋_GB2312" w:cs="Times New Roman"/>
          <w:sz w:val="32"/>
          <w:szCs w:val="32"/>
        </w:rPr>
        <w:t>辨别出哈喇等异味，需避免食用</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产品明示标准</w:t>
      </w:r>
      <w:r>
        <w:rPr>
          <w:rFonts w:hint="eastAsia" w:ascii="仿宋_GB2312" w:hAnsi="Times New Roman" w:eastAsia="仿宋_GB2312"/>
          <w:color w:val="000000"/>
          <w:kern w:val="2"/>
          <w:sz w:val="32"/>
          <w:szCs w:val="32"/>
          <w:lang w:val="en-US" w:eastAsia="zh-CN" w:bidi="ar-SA"/>
        </w:rPr>
        <w:t>规定</w:t>
      </w:r>
      <w:r>
        <w:rPr>
          <w:rFonts w:hint="eastAsia" w:ascii="仿宋_GB2312" w:eastAsia="仿宋_GB2312" w:cs="Times New Roman"/>
          <w:sz w:val="32"/>
          <w:szCs w:val="32"/>
          <w:lang w:val="en-US" w:eastAsia="zh-CN"/>
        </w:rPr>
        <w:t>芝麻油中酸价</w:t>
      </w:r>
      <w:r>
        <w:rPr>
          <w:rFonts w:hint="eastAsia" w:ascii="仿宋_GB2312" w:hAnsi="仿宋_GB2312" w:eastAsia="仿宋_GB2312" w:cs="仿宋_GB2312"/>
          <w:color w:val="000000"/>
          <w:sz w:val="32"/>
          <w:szCs w:val="32"/>
        </w:rPr>
        <w:t>最大限量值为</w:t>
      </w:r>
      <w:r>
        <w:rPr>
          <w:rFonts w:hint="eastAsia" w:ascii="仿宋_GB2312" w:hAnsi="宋体" w:eastAsia="仿宋_GB2312" w:cs="仿宋"/>
          <w:sz w:val="32"/>
          <w:szCs w:val="32"/>
          <w:shd w:val="clear" w:color="auto" w:fill="FFFFFF"/>
        </w:rPr>
        <w:t>3.0mg/g</w:t>
      </w:r>
      <w:r>
        <w:rPr>
          <w:rFonts w:hint="eastAsia" w:ascii="仿宋_GB2312" w:hAnsi="宋体" w:eastAsia="仿宋_GB2312" w:cs="仿宋"/>
          <w:sz w:val="32"/>
          <w:szCs w:val="32"/>
          <w:shd w:val="clear" w:color="auto" w:fill="FFFFFF"/>
          <w:lang w:eastAsia="zh-CN"/>
        </w:rPr>
        <w:t>。</w:t>
      </w:r>
      <w:r>
        <w:rPr>
          <w:rFonts w:hint="eastAsia" w:ascii="仿宋_GB2312" w:hAnsi="宋体" w:eastAsia="仿宋_GB2312" w:cs="Times New Roman"/>
          <w:sz w:val="32"/>
          <w:szCs w:val="32"/>
        </w:rPr>
        <w:t>造成</w:t>
      </w:r>
      <w:r>
        <w:rPr>
          <w:rFonts w:ascii="仿宋_GB2312" w:hAnsi="宋体" w:eastAsia="仿宋_GB2312" w:cs="Times New Roman"/>
          <w:sz w:val="32"/>
          <w:szCs w:val="32"/>
        </w:rPr>
        <w:t>酸价不合格</w:t>
      </w:r>
      <w:r>
        <w:rPr>
          <w:rFonts w:hint="eastAsia" w:ascii="仿宋_GB2312" w:hAnsi="宋体" w:eastAsia="仿宋_GB2312" w:cs="Times New Roman"/>
          <w:sz w:val="32"/>
          <w:szCs w:val="32"/>
        </w:rPr>
        <w:t>的</w:t>
      </w:r>
      <w:r>
        <w:rPr>
          <w:rFonts w:ascii="仿宋_GB2312" w:hAnsi="宋体" w:eastAsia="仿宋_GB2312" w:cs="Times New Roman"/>
          <w:sz w:val="32"/>
          <w:szCs w:val="32"/>
        </w:rPr>
        <w:t>原因，</w:t>
      </w:r>
      <w:r>
        <w:rPr>
          <w:rFonts w:hint="eastAsia" w:ascii="仿宋_GB2312" w:hAnsi="宋体" w:eastAsia="仿宋_GB2312" w:cs="Times New Roman"/>
          <w:sz w:val="32"/>
          <w:szCs w:val="32"/>
        </w:rPr>
        <w:t>可能是</w:t>
      </w:r>
      <w:r>
        <w:rPr>
          <w:rFonts w:ascii="仿宋_GB2312" w:hAnsi="宋体" w:eastAsia="仿宋_GB2312" w:cs="Times New Roman"/>
          <w:sz w:val="32"/>
          <w:szCs w:val="32"/>
        </w:rPr>
        <w:t>产品储藏条件不当，特别是存贮温度较高时易导致食品中的脂肪氧化酸败。</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七、总酸(以乙酸计)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总酸是指100mL食醋中含酸（以乙酸计）的质量，总酸是衡量食醋质量优劣的重要指标。一般来说，醋的总酸是根据其酿造时间变化的，酿造时间越长酸度就越大。</w:t>
      </w:r>
      <w:r>
        <w:rPr>
          <w:rFonts w:hint="eastAsia" w:ascii="仿宋_GB2312" w:eastAsia="仿宋_GB2312"/>
          <w:color w:val="000000"/>
          <w:kern w:val="2"/>
          <w:sz w:val="32"/>
          <w:szCs w:val="32"/>
          <w:lang w:val="en-US" w:eastAsia="zh-CN" w:bidi="ar-SA"/>
        </w:rPr>
        <w:t>产品明示标准</w:t>
      </w:r>
      <w:r>
        <w:rPr>
          <w:rFonts w:hint="eastAsia" w:ascii="仿宋_GB2312" w:hAnsi="Times New Roman" w:eastAsia="仿宋_GB2312"/>
          <w:color w:val="000000"/>
          <w:kern w:val="2"/>
          <w:sz w:val="32"/>
          <w:szCs w:val="32"/>
          <w:lang w:val="en-US" w:eastAsia="zh-CN" w:bidi="ar-SA"/>
        </w:rPr>
        <w:t>规定总酸的最小限量值为3.50g/100mL。其不合格主要原因可能是由于生产经营企业没有严格按照工艺条件生产酿造或者淋醋后过量加水且出厂检验把关不严，造成产品总酸不符合要求。</w:t>
      </w:r>
    </w:p>
    <w:p>
      <w:pPr>
        <w:spacing w:line="480" w:lineRule="auto"/>
        <w:ind w:firstLine="640" w:firstLineChars="200"/>
        <w:rPr>
          <w:rFonts w:ascii="黑体" w:hAnsi="黑体" w:eastAsia="黑体"/>
          <w:sz w:val="32"/>
          <w:szCs w:val="32"/>
        </w:rPr>
      </w:pPr>
      <w:r>
        <w:rPr>
          <w:rFonts w:hint="eastAsia" w:ascii="黑体" w:hAnsi="黑体" w:eastAsia="黑体"/>
          <w:kern w:val="0"/>
          <w:sz w:val="32"/>
          <w:szCs w:val="32"/>
          <w:lang w:val="en-US" w:eastAsia="zh-CN"/>
        </w:rPr>
        <w:t>八、</w:t>
      </w:r>
      <w:r>
        <w:rPr>
          <w:rFonts w:hint="eastAsia" w:ascii="黑体" w:hAnsi="黑体" w:eastAsia="黑体"/>
          <w:sz w:val="32"/>
          <w:szCs w:val="32"/>
        </w:rPr>
        <w:t>脱氢乙酸及其钠盐</w:t>
      </w:r>
      <w:r>
        <w:rPr>
          <w:rFonts w:hint="eastAsia" w:eastAsia="黑体"/>
          <w:spacing w:val="-12"/>
          <w:sz w:val="32"/>
          <w:szCs w:val="32"/>
        </w:rPr>
        <w:t>（以脱氢乙酸计）</w:t>
      </w:r>
    </w:p>
    <w:p>
      <w:pPr>
        <w:spacing w:line="480" w:lineRule="auto"/>
        <w:ind w:firstLine="640" w:firstLineChars="200"/>
        <w:textAlignment w:val="baseline"/>
        <w:rPr>
          <w:rFonts w:hint="eastAsia" w:ascii="仿宋_GB2312" w:eastAsia="仿宋_GB2312"/>
          <w:sz w:val="32"/>
          <w:szCs w:val="32"/>
        </w:rPr>
      </w:pPr>
      <w:r>
        <w:rPr>
          <w:rFonts w:hint="eastAsia" w:ascii="仿宋_GB2312" w:eastAsia="仿宋_GB2312"/>
          <w:sz w:val="32"/>
          <w:szCs w:val="32"/>
        </w:rPr>
        <w:t>脱氢乙酸及其钠盐作为一种广谱食品防腐剂，毒性较低，</w:t>
      </w:r>
      <w:r>
        <w:rPr>
          <w:rFonts w:hint="eastAsia" w:ascii="仿宋_GB2312" w:eastAsia="仿宋_GB2312"/>
          <w:kern w:val="0"/>
          <w:sz w:val="32"/>
          <w:szCs w:val="32"/>
        </w:rPr>
        <w:t>对霉菌、酵母和细菌有较好的抑制作用。</w:t>
      </w:r>
      <w:r>
        <w:rPr>
          <w:rFonts w:hint="eastAsia" w:ascii="仿宋_GB2312" w:eastAsia="仿宋_GB2312"/>
          <w:sz w:val="32"/>
          <w:szCs w:val="32"/>
        </w:rPr>
        <w:t>《食品安全国家标准 食品添加剂使用标准》（GB 2760—2014）中规定</w:t>
      </w:r>
      <w:r>
        <w:rPr>
          <w:rFonts w:hint="eastAsia" w:ascii="仿宋_GB2312" w:eastAsia="仿宋_GB2312"/>
          <w:sz w:val="32"/>
          <w:szCs w:val="32"/>
          <w:lang w:val="en-US" w:eastAsia="zh-CN"/>
        </w:rPr>
        <w:t>在</w:t>
      </w:r>
      <w:r>
        <w:rPr>
          <w:rFonts w:hint="eastAsia" w:ascii="仿宋_GB2312" w:eastAsia="仿宋_GB2312"/>
          <w:sz w:val="32"/>
          <w:szCs w:val="32"/>
        </w:rPr>
        <w:t>米粉制品中</w:t>
      </w:r>
      <w:r>
        <w:rPr>
          <w:rFonts w:hint="eastAsia" w:ascii="仿宋_GB2312" w:eastAsia="仿宋_GB2312"/>
          <w:sz w:val="32"/>
          <w:szCs w:val="32"/>
          <w:lang w:val="en-US" w:eastAsia="zh-CN"/>
        </w:rPr>
        <w:t>不得使用</w:t>
      </w:r>
      <w:r>
        <w:rPr>
          <w:rFonts w:hint="eastAsia" w:ascii="仿宋_GB2312" w:eastAsia="仿宋_GB2312"/>
          <w:sz w:val="32"/>
          <w:szCs w:val="32"/>
        </w:rPr>
        <w:t>脱氢乙酸及其钠盐（以脱氢乙酸计）</w:t>
      </w:r>
      <w:r>
        <w:rPr>
          <w:rFonts w:hint="eastAsia" w:ascii="仿宋_GB2312" w:eastAsia="仿宋_GB2312"/>
          <w:sz w:val="32"/>
          <w:szCs w:val="32"/>
          <w:lang w:eastAsia="zh-CN"/>
        </w:rPr>
        <w:t>。</w:t>
      </w:r>
      <w:r>
        <w:rPr>
          <w:rFonts w:hint="eastAsia" w:ascii="仿宋_GB2312" w:eastAsia="仿宋_GB2312"/>
          <w:sz w:val="32"/>
          <w:szCs w:val="32"/>
          <w:lang w:val="en-US" w:eastAsia="zh-CN"/>
        </w:rPr>
        <w:t>不合格原因</w:t>
      </w:r>
      <w:r>
        <w:rPr>
          <w:rFonts w:hint="eastAsia" w:ascii="仿宋_GB2312" w:eastAsia="仿宋_GB2312"/>
          <w:sz w:val="32"/>
          <w:szCs w:val="32"/>
        </w:rPr>
        <w:t>可能是企业为防止食品腐败变质，</w:t>
      </w:r>
      <w:r>
        <w:rPr>
          <w:rFonts w:hint="eastAsia" w:ascii="仿宋_GB2312" w:eastAsia="仿宋_GB2312"/>
          <w:sz w:val="32"/>
          <w:szCs w:val="32"/>
          <w:lang w:val="en-US" w:eastAsia="zh-CN"/>
        </w:rPr>
        <w:t>违规</w:t>
      </w:r>
      <w:r>
        <w:rPr>
          <w:rFonts w:hint="eastAsia" w:ascii="仿宋_GB2312" w:eastAsia="仿宋_GB2312"/>
          <w:sz w:val="32"/>
          <w:szCs w:val="32"/>
        </w:rPr>
        <w:t>使用该添加剂。</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kern w:val="0"/>
          <w:sz w:val="32"/>
          <w:szCs w:val="32"/>
          <w:lang w:val="en-US" w:eastAsia="zh-CN"/>
        </w:rPr>
        <w:t>九、铜绿假单胞菌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olor w:val="000000"/>
          <w:kern w:val="2"/>
          <w:sz w:val="32"/>
          <w:szCs w:val="32"/>
          <w:lang w:val="en-US" w:eastAsia="zh-CN" w:bidi="ar-SA"/>
        </w:rPr>
      </w:pPr>
      <w:r>
        <w:rPr>
          <w:rFonts w:hint="eastAsia" w:ascii="仿宋_GB2312" w:eastAsia="仿宋_GB2312"/>
          <w:sz w:val="32"/>
          <w:szCs w:val="32"/>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r>
        <w:rPr>
          <w:rFonts w:hint="eastAsia" w:ascii="仿宋_GB2312" w:eastAsia="仿宋_GB2312"/>
          <w:sz w:val="32"/>
          <w:szCs w:val="32"/>
          <w:lang w:eastAsia="zh-CN"/>
        </w:rPr>
        <w:t>。</w:t>
      </w: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DhlN2ExYjQ3YWVjZjI5MWI2Yzc3NDgzNGU0MDUifQ=="/>
  </w:docVars>
  <w:rsids>
    <w:rsidRoot w:val="00172A27"/>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7E73"/>
    <w:rsid w:val="00CF69F7"/>
    <w:rsid w:val="00D00ACD"/>
    <w:rsid w:val="00D03E99"/>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175D5D"/>
    <w:rsid w:val="01831FA5"/>
    <w:rsid w:val="018E4D5E"/>
    <w:rsid w:val="01AB6634"/>
    <w:rsid w:val="02053DD6"/>
    <w:rsid w:val="024263C0"/>
    <w:rsid w:val="026D092B"/>
    <w:rsid w:val="028310E7"/>
    <w:rsid w:val="03217021"/>
    <w:rsid w:val="034C31D2"/>
    <w:rsid w:val="036259E1"/>
    <w:rsid w:val="0371303B"/>
    <w:rsid w:val="03CE578B"/>
    <w:rsid w:val="03DB14A4"/>
    <w:rsid w:val="03DF518A"/>
    <w:rsid w:val="03F10067"/>
    <w:rsid w:val="03FD6646"/>
    <w:rsid w:val="04390E09"/>
    <w:rsid w:val="047421C3"/>
    <w:rsid w:val="04752E82"/>
    <w:rsid w:val="04AB25CA"/>
    <w:rsid w:val="04D42BAB"/>
    <w:rsid w:val="04F07F3D"/>
    <w:rsid w:val="051259A7"/>
    <w:rsid w:val="052B4BD9"/>
    <w:rsid w:val="0531798F"/>
    <w:rsid w:val="05342AFE"/>
    <w:rsid w:val="054776A0"/>
    <w:rsid w:val="05543510"/>
    <w:rsid w:val="05687ED4"/>
    <w:rsid w:val="05D53E62"/>
    <w:rsid w:val="05F93E7A"/>
    <w:rsid w:val="06111BAC"/>
    <w:rsid w:val="06132ADD"/>
    <w:rsid w:val="06485335"/>
    <w:rsid w:val="064F7E88"/>
    <w:rsid w:val="06523BEE"/>
    <w:rsid w:val="06712E2E"/>
    <w:rsid w:val="068E61A2"/>
    <w:rsid w:val="06C52BA4"/>
    <w:rsid w:val="06E23C99"/>
    <w:rsid w:val="06F968BE"/>
    <w:rsid w:val="07684DF4"/>
    <w:rsid w:val="07AC1432"/>
    <w:rsid w:val="07C16A2B"/>
    <w:rsid w:val="07C470B7"/>
    <w:rsid w:val="080829CF"/>
    <w:rsid w:val="08161915"/>
    <w:rsid w:val="083527BA"/>
    <w:rsid w:val="084D3E6C"/>
    <w:rsid w:val="08596B4F"/>
    <w:rsid w:val="08AE5F5D"/>
    <w:rsid w:val="08C5658B"/>
    <w:rsid w:val="08DA458B"/>
    <w:rsid w:val="08DB2C58"/>
    <w:rsid w:val="08FB400C"/>
    <w:rsid w:val="093C3D77"/>
    <w:rsid w:val="09847361"/>
    <w:rsid w:val="09BD1FE3"/>
    <w:rsid w:val="09C93ADD"/>
    <w:rsid w:val="09E846EB"/>
    <w:rsid w:val="0A1B63FA"/>
    <w:rsid w:val="0A3D6F6A"/>
    <w:rsid w:val="0A4414E3"/>
    <w:rsid w:val="0AA2335A"/>
    <w:rsid w:val="0AAC38D9"/>
    <w:rsid w:val="0AEE56C4"/>
    <w:rsid w:val="0B225510"/>
    <w:rsid w:val="0B510EE3"/>
    <w:rsid w:val="0B661BA8"/>
    <w:rsid w:val="0B6C4B52"/>
    <w:rsid w:val="0BAB5586"/>
    <w:rsid w:val="0C0A6E14"/>
    <w:rsid w:val="0C7128B9"/>
    <w:rsid w:val="0C860A9B"/>
    <w:rsid w:val="0CB678BF"/>
    <w:rsid w:val="0D6131BD"/>
    <w:rsid w:val="0D9B2700"/>
    <w:rsid w:val="0DA32B19"/>
    <w:rsid w:val="0DA64371"/>
    <w:rsid w:val="0DBB3CCE"/>
    <w:rsid w:val="0DFF6843"/>
    <w:rsid w:val="0E072787"/>
    <w:rsid w:val="0E7B01C3"/>
    <w:rsid w:val="0ED222AF"/>
    <w:rsid w:val="0ED326E8"/>
    <w:rsid w:val="0ED45BC6"/>
    <w:rsid w:val="0EF77DE7"/>
    <w:rsid w:val="0F3B42BE"/>
    <w:rsid w:val="0FE13495"/>
    <w:rsid w:val="0FE950C3"/>
    <w:rsid w:val="0FF050EC"/>
    <w:rsid w:val="101553F3"/>
    <w:rsid w:val="10303A03"/>
    <w:rsid w:val="10391502"/>
    <w:rsid w:val="10573BB6"/>
    <w:rsid w:val="10AA34E4"/>
    <w:rsid w:val="10F84E13"/>
    <w:rsid w:val="11B7573A"/>
    <w:rsid w:val="120A3BF8"/>
    <w:rsid w:val="125B4FEF"/>
    <w:rsid w:val="125E29B5"/>
    <w:rsid w:val="12607432"/>
    <w:rsid w:val="12934A40"/>
    <w:rsid w:val="129F79F3"/>
    <w:rsid w:val="12E4538D"/>
    <w:rsid w:val="12E504E1"/>
    <w:rsid w:val="136B44AA"/>
    <w:rsid w:val="13751D9D"/>
    <w:rsid w:val="13DA6DF1"/>
    <w:rsid w:val="14143E41"/>
    <w:rsid w:val="14247C0B"/>
    <w:rsid w:val="14340625"/>
    <w:rsid w:val="14DD0C57"/>
    <w:rsid w:val="150B2DC6"/>
    <w:rsid w:val="152D133B"/>
    <w:rsid w:val="15631228"/>
    <w:rsid w:val="157E21A2"/>
    <w:rsid w:val="15803436"/>
    <w:rsid w:val="15CF3DB3"/>
    <w:rsid w:val="15F56EE6"/>
    <w:rsid w:val="161B1C5A"/>
    <w:rsid w:val="162F56B9"/>
    <w:rsid w:val="1669197A"/>
    <w:rsid w:val="16695E42"/>
    <w:rsid w:val="16AB120E"/>
    <w:rsid w:val="16C96B05"/>
    <w:rsid w:val="17A27288"/>
    <w:rsid w:val="17CF326B"/>
    <w:rsid w:val="180618A3"/>
    <w:rsid w:val="184B2161"/>
    <w:rsid w:val="18826E62"/>
    <w:rsid w:val="18865B60"/>
    <w:rsid w:val="188F4108"/>
    <w:rsid w:val="18B30BD2"/>
    <w:rsid w:val="18CA0C88"/>
    <w:rsid w:val="18EA30A0"/>
    <w:rsid w:val="1909731D"/>
    <w:rsid w:val="191043B0"/>
    <w:rsid w:val="191275E7"/>
    <w:rsid w:val="195E2D51"/>
    <w:rsid w:val="19A75188"/>
    <w:rsid w:val="19C32F24"/>
    <w:rsid w:val="19EA6A34"/>
    <w:rsid w:val="19EB467D"/>
    <w:rsid w:val="1A01093D"/>
    <w:rsid w:val="1A0B1E36"/>
    <w:rsid w:val="1A3B3BA3"/>
    <w:rsid w:val="1A407D1A"/>
    <w:rsid w:val="1A6F1F98"/>
    <w:rsid w:val="1A8E54CC"/>
    <w:rsid w:val="1AB04601"/>
    <w:rsid w:val="1ADC7F84"/>
    <w:rsid w:val="1B3B1E86"/>
    <w:rsid w:val="1B494570"/>
    <w:rsid w:val="1B5F2CE9"/>
    <w:rsid w:val="1B854B6F"/>
    <w:rsid w:val="1B963EA4"/>
    <w:rsid w:val="1BA45296"/>
    <w:rsid w:val="1BB160B4"/>
    <w:rsid w:val="1BBF1F6B"/>
    <w:rsid w:val="1C0935FD"/>
    <w:rsid w:val="1C245E44"/>
    <w:rsid w:val="1C2662C9"/>
    <w:rsid w:val="1C596E28"/>
    <w:rsid w:val="1CB17A0C"/>
    <w:rsid w:val="1CCA1BF1"/>
    <w:rsid w:val="1CCE4265"/>
    <w:rsid w:val="1CD60342"/>
    <w:rsid w:val="1CFE091A"/>
    <w:rsid w:val="1D045674"/>
    <w:rsid w:val="1D113DAB"/>
    <w:rsid w:val="1D156954"/>
    <w:rsid w:val="1D1D52A3"/>
    <w:rsid w:val="1D2D56CC"/>
    <w:rsid w:val="1D3074A8"/>
    <w:rsid w:val="1D350364"/>
    <w:rsid w:val="1D4F00A2"/>
    <w:rsid w:val="1D5440B9"/>
    <w:rsid w:val="1D8A75BE"/>
    <w:rsid w:val="1DBA6E49"/>
    <w:rsid w:val="1E743433"/>
    <w:rsid w:val="1E994E91"/>
    <w:rsid w:val="1EA41086"/>
    <w:rsid w:val="1F0F1389"/>
    <w:rsid w:val="1F2C713C"/>
    <w:rsid w:val="1F435D57"/>
    <w:rsid w:val="1F496D5E"/>
    <w:rsid w:val="1F767357"/>
    <w:rsid w:val="1F7867D3"/>
    <w:rsid w:val="1F861327"/>
    <w:rsid w:val="1FAC36EE"/>
    <w:rsid w:val="1FB20B91"/>
    <w:rsid w:val="1FC77D2F"/>
    <w:rsid w:val="1FD747B7"/>
    <w:rsid w:val="20277FBB"/>
    <w:rsid w:val="20316A87"/>
    <w:rsid w:val="20B11BF0"/>
    <w:rsid w:val="21024E98"/>
    <w:rsid w:val="210C346E"/>
    <w:rsid w:val="213074C5"/>
    <w:rsid w:val="216E5AF9"/>
    <w:rsid w:val="218E1D38"/>
    <w:rsid w:val="21B46F53"/>
    <w:rsid w:val="220901F7"/>
    <w:rsid w:val="22321839"/>
    <w:rsid w:val="22596405"/>
    <w:rsid w:val="22823B1A"/>
    <w:rsid w:val="23346387"/>
    <w:rsid w:val="234715B6"/>
    <w:rsid w:val="239A25D4"/>
    <w:rsid w:val="239C55A3"/>
    <w:rsid w:val="23AC7A20"/>
    <w:rsid w:val="241D686E"/>
    <w:rsid w:val="24424A74"/>
    <w:rsid w:val="248B0EAC"/>
    <w:rsid w:val="24CC483F"/>
    <w:rsid w:val="250F3E17"/>
    <w:rsid w:val="254077C3"/>
    <w:rsid w:val="254272CF"/>
    <w:rsid w:val="2545554C"/>
    <w:rsid w:val="256E3E8F"/>
    <w:rsid w:val="258F00E6"/>
    <w:rsid w:val="25A026A4"/>
    <w:rsid w:val="25F35827"/>
    <w:rsid w:val="260E599E"/>
    <w:rsid w:val="262D15CD"/>
    <w:rsid w:val="265B6F78"/>
    <w:rsid w:val="267E12DB"/>
    <w:rsid w:val="26946923"/>
    <w:rsid w:val="26983A5F"/>
    <w:rsid w:val="269A3188"/>
    <w:rsid w:val="26C16F47"/>
    <w:rsid w:val="26C6705F"/>
    <w:rsid w:val="26D61340"/>
    <w:rsid w:val="26D93A38"/>
    <w:rsid w:val="26DC20CF"/>
    <w:rsid w:val="26FC7E11"/>
    <w:rsid w:val="271C041D"/>
    <w:rsid w:val="273B0113"/>
    <w:rsid w:val="273B263D"/>
    <w:rsid w:val="277D16A9"/>
    <w:rsid w:val="27993D9C"/>
    <w:rsid w:val="27AF5937"/>
    <w:rsid w:val="27BC1BE1"/>
    <w:rsid w:val="27BC4F2B"/>
    <w:rsid w:val="28244A25"/>
    <w:rsid w:val="283A2EF3"/>
    <w:rsid w:val="28481C4D"/>
    <w:rsid w:val="28523DD4"/>
    <w:rsid w:val="28BA05DB"/>
    <w:rsid w:val="28DF41A9"/>
    <w:rsid w:val="28E30671"/>
    <w:rsid w:val="28F94219"/>
    <w:rsid w:val="29341559"/>
    <w:rsid w:val="296A41FA"/>
    <w:rsid w:val="29787270"/>
    <w:rsid w:val="29A451A9"/>
    <w:rsid w:val="29DA123E"/>
    <w:rsid w:val="29DF25E3"/>
    <w:rsid w:val="2A3E2619"/>
    <w:rsid w:val="2A795939"/>
    <w:rsid w:val="2A8F2C4E"/>
    <w:rsid w:val="2AE46FC3"/>
    <w:rsid w:val="2B6940E7"/>
    <w:rsid w:val="2B91705B"/>
    <w:rsid w:val="2BC1438E"/>
    <w:rsid w:val="2BD718A5"/>
    <w:rsid w:val="2BE802BC"/>
    <w:rsid w:val="2BEF53CA"/>
    <w:rsid w:val="2C212EF6"/>
    <w:rsid w:val="2C4A5A88"/>
    <w:rsid w:val="2D4A7087"/>
    <w:rsid w:val="2D660236"/>
    <w:rsid w:val="2D7A4000"/>
    <w:rsid w:val="2D7C1929"/>
    <w:rsid w:val="2D81585D"/>
    <w:rsid w:val="2DA12E04"/>
    <w:rsid w:val="2DDE5415"/>
    <w:rsid w:val="2DE94BC1"/>
    <w:rsid w:val="2DEA2C15"/>
    <w:rsid w:val="2DFB77B8"/>
    <w:rsid w:val="2E7B2EF7"/>
    <w:rsid w:val="2E93544D"/>
    <w:rsid w:val="2EE3120A"/>
    <w:rsid w:val="2EEB170B"/>
    <w:rsid w:val="2EF03E7C"/>
    <w:rsid w:val="2EF43AB5"/>
    <w:rsid w:val="2F025843"/>
    <w:rsid w:val="2F0479F2"/>
    <w:rsid w:val="2F525959"/>
    <w:rsid w:val="2FCB3ABB"/>
    <w:rsid w:val="2FEA0095"/>
    <w:rsid w:val="301447F0"/>
    <w:rsid w:val="30230051"/>
    <w:rsid w:val="30DD4CCB"/>
    <w:rsid w:val="3114230E"/>
    <w:rsid w:val="312371D5"/>
    <w:rsid w:val="313D7530"/>
    <w:rsid w:val="315234F4"/>
    <w:rsid w:val="316A6E48"/>
    <w:rsid w:val="31D23DC8"/>
    <w:rsid w:val="31EB6FA4"/>
    <w:rsid w:val="323341D2"/>
    <w:rsid w:val="32B22C51"/>
    <w:rsid w:val="32C84BD0"/>
    <w:rsid w:val="330A189C"/>
    <w:rsid w:val="336707A5"/>
    <w:rsid w:val="337B5B7E"/>
    <w:rsid w:val="34164F86"/>
    <w:rsid w:val="344F2021"/>
    <w:rsid w:val="34592A9A"/>
    <w:rsid w:val="349A4BA0"/>
    <w:rsid w:val="34BA1971"/>
    <w:rsid w:val="34BD6188"/>
    <w:rsid w:val="351D7B81"/>
    <w:rsid w:val="357E1B92"/>
    <w:rsid w:val="35930DB3"/>
    <w:rsid w:val="35D771B6"/>
    <w:rsid w:val="35E30280"/>
    <w:rsid w:val="3603603D"/>
    <w:rsid w:val="3632654C"/>
    <w:rsid w:val="364818F4"/>
    <w:rsid w:val="367B0834"/>
    <w:rsid w:val="36977D1F"/>
    <w:rsid w:val="36D71D18"/>
    <w:rsid w:val="371141C5"/>
    <w:rsid w:val="371E02FF"/>
    <w:rsid w:val="376E02BA"/>
    <w:rsid w:val="37751114"/>
    <w:rsid w:val="377B038D"/>
    <w:rsid w:val="378704DB"/>
    <w:rsid w:val="379A0DCC"/>
    <w:rsid w:val="37E8617F"/>
    <w:rsid w:val="38407F9B"/>
    <w:rsid w:val="385F5AFA"/>
    <w:rsid w:val="387C06D4"/>
    <w:rsid w:val="38AD278A"/>
    <w:rsid w:val="38E26769"/>
    <w:rsid w:val="39182965"/>
    <w:rsid w:val="393D49CD"/>
    <w:rsid w:val="39825A8A"/>
    <w:rsid w:val="398A1236"/>
    <w:rsid w:val="39B35D56"/>
    <w:rsid w:val="3A0F40A1"/>
    <w:rsid w:val="3A1F2D81"/>
    <w:rsid w:val="3A4A02E0"/>
    <w:rsid w:val="3A782E78"/>
    <w:rsid w:val="3A925AFC"/>
    <w:rsid w:val="3A96246C"/>
    <w:rsid w:val="3AA07204"/>
    <w:rsid w:val="3AAC5B13"/>
    <w:rsid w:val="3AFB465A"/>
    <w:rsid w:val="3B320E07"/>
    <w:rsid w:val="3B4F6686"/>
    <w:rsid w:val="3B565C41"/>
    <w:rsid w:val="3B7E2569"/>
    <w:rsid w:val="3BCE65DD"/>
    <w:rsid w:val="3BD83286"/>
    <w:rsid w:val="3BDB31AF"/>
    <w:rsid w:val="3BFD45B1"/>
    <w:rsid w:val="3C341086"/>
    <w:rsid w:val="3C4F7BC9"/>
    <w:rsid w:val="3C662451"/>
    <w:rsid w:val="3CBE5248"/>
    <w:rsid w:val="3CC42CB8"/>
    <w:rsid w:val="3D676AC8"/>
    <w:rsid w:val="3D825AEA"/>
    <w:rsid w:val="3DD96867"/>
    <w:rsid w:val="3DE55726"/>
    <w:rsid w:val="3EBE5BC8"/>
    <w:rsid w:val="3ED050EF"/>
    <w:rsid w:val="3F4D1EFF"/>
    <w:rsid w:val="3F5A0C1B"/>
    <w:rsid w:val="3F7012B9"/>
    <w:rsid w:val="3F9A7F54"/>
    <w:rsid w:val="3FB96758"/>
    <w:rsid w:val="3FE271D0"/>
    <w:rsid w:val="3FFE50FC"/>
    <w:rsid w:val="40132523"/>
    <w:rsid w:val="40277A15"/>
    <w:rsid w:val="40460461"/>
    <w:rsid w:val="407B4C56"/>
    <w:rsid w:val="408E3723"/>
    <w:rsid w:val="40C71B14"/>
    <w:rsid w:val="40E40ED7"/>
    <w:rsid w:val="40ED1F55"/>
    <w:rsid w:val="40EE4902"/>
    <w:rsid w:val="411B3CDD"/>
    <w:rsid w:val="413627AB"/>
    <w:rsid w:val="41375DF1"/>
    <w:rsid w:val="41555A8C"/>
    <w:rsid w:val="41634E69"/>
    <w:rsid w:val="41737B13"/>
    <w:rsid w:val="417C4184"/>
    <w:rsid w:val="418357F2"/>
    <w:rsid w:val="41BF4AB5"/>
    <w:rsid w:val="4253118C"/>
    <w:rsid w:val="42AD1F88"/>
    <w:rsid w:val="42B178E9"/>
    <w:rsid w:val="42C03C3C"/>
    <w:rsid w:val="430415D2"/>
    <w:rsid w:val="43380257"/>
    <w:rsid w:val="436307AB"/>
    <w:rsid w:val="43710D83"/>
    <w:rsid w:val="43906BA8"/>
    <w:rsid w:val="43C22C30"/>
    <w:rsid w:val="43CE46DB"/>
    <w:rsid w:val="43DA3E57"/>
    <w:rsid w:val="43DD726A"/>
    <w:rsid w:val="43DE7CE6"/>
    <w:rsid w:val="43E62582"/>
    <w:rsid w:val="44112E8F"/>
    <w:rsid w:val="441B7824"/>
    <w:rsid w:val="442045CD"/>
    <w:rsid w:val="44316F03"/>
    <w:rsid w:val="443F240B"/>
    <w:rsid w:val="4443643A"/>
    <w:rsid w:val="44545798"/>
    <w:rsid w:val="45860040"/>
    <w:rsid w:val="45D10A12"/>
    <w:rsid w:val="45F531E3"/>
    <w:rsid w:val="469277C3"/>
    <w:rsid w:val="469C0DE0"/>
    <w:rsid w:val="46BA5B24"/>
    <w:rsid w:val="46E23BAF"/>
    <w:rsid w:val="47432C06"/>
    <w:rsid w:val="47436D28"/>
    <w:rsid w:val="47933B36"/>
    <w:rsid w:val="47DF3A5D"/>
    <w:rsid w:val="48125D9D"/>
    <w:rsid w:val="483D781E"/>
    <w:rsid w:val="48AB04B0"/>
    <w:rsid w:val="48CF198C"/>
    <w:rsid w:val="491F6ECE"/>
    <w:rsid w:val="49305C5E"/>
    <w:rsid w:val="493579B0"/>
    <w:rsid w:val="496A58A1"/>
    <w:rsid w:val="49885B2A"/>
    <w:rsid w:val="49E375E7"/>
    <w:rsid w:val="4A111518"/>
    <w:rsid w:val="4A1B425A"/>
    <w:rsid w:val="4A29340C"/>
    <w:rsid w:val="4A844BCD"/>
    <w:rsid w:val="4AA04266"/>
    <w:rsid w:val="4AE41776"/>
    <w:rsid w:val="4B145670"/>
    <w:rsid w:val="4B590554"/>
    <w:rsid w:val="4B884DF8"/>
    <w:rsid w:val="4BDC6A53"/>
    <w:rsid w:val="4BDF3D74"/>
    <w:rsid w:val="4BF149E6"/>
    <w:rsid w:val="4BFA17C4"/>
    <w:rsid w:val="4C306A17"/>
    <w:rsid w:val="4CBF385B"/>
    <w:rsid w:val="4CCA51C3"/>
    <w:rsid w:val="4CD608F7"/>
    <w:rsid w:val="4D372657"/>
    <w:rsid w:val="4D47625E"/>
    <w:rsid w:val="4D61022A"/>
    <w:rsid w:val="4D68250C"/>
    <w:rsid w:val="4D827C83"/>
    <w:rsid w:val="4D886069"/>
    <w:rsid w:val="4DF000F8"/>
    <w:rsid w:val="4DF52D79"/>
    <w:rsid w:val="4E3945CD"/>
    <w:rsid w:val="4E5303BA"/>
    <w:rsid w:val="4E673A1F"/>
    <w:rsid w:val="4E6F7AF0"/>
    <w:rsid w:val="4E8A1D0A"/>
    <w:rsid w:val="4EA843EC"/>
    <w:rsid w:val="4EEB116D"/>
    <w:rsid w:val="4EEE58DF"/>
    <w:rsid w:val="4F1E508F"/>
    <w:rsid w:val="4F3B62B8"/>
    <w:rsid w:val="4FE275E8"/>
    <w:rsid w:val="50383BA4"/>
    <w:rsid w:val="50410BA5"/>
    <w:rsid w:val="50446C37"/>
    <w:rsid w:val="504979D8"/>
    <w:rsid w:val="50934D4F"/>
    <w:rsid w:val="509F57F5"/>
    <w:rsid w:val="51357DD9"/>
    <w:rsid w:val="517C7B02"/>
    <w:rsid w:val="51850DCC"/>
    <w:rsid w:val="51886C6C"/>
    <w:rsid w:val="51BD7AF1"/>
    <w:rsid w:val="521A7662"/>
    <w:rsid w:val="52344BEE"/>
    <w:rsid w:val="52621467"/>
    <w:rsid w:val="52EF6D66"/>
    <w:rsid w:val="52F82584"/>
    <w:rsid w:val="535671B8"/>
    <w:rsid w:val="53B94F73"/>
    <w:rsid w:val="53CF201E"/>
    <w:rsid w:val="542057A4"/>
    <w:rsid w:val="54207CF6"/>
    <w:rsid w:val="5473088C"/>
    <w:rsid w:val="54D6561D"/>
    <w:rsid w:val="54DD5A1A"/>
    <w:rsid w:val="55072809"/>
    <w:rsid w:val="550D3492"/>
    <w:rsid w:val="55455A1C"/>
    <w:rsid w:val="55A11E60"/>
    <w:rsid w:val="55A12DF1"/>
    <w:rsid w:val="55AF4BBE"/>
    <w:rsid w:val="55BB1189"/>
    <w:rsid w:val="560A114D"/>
    <w:rsid w:val="561A66C7"/>
    <w:rsid w:val="56737365"/>
    <w:rsid w:val="56A871AD"/>
    <w:rsid w:val="56E12FF7"/>
    <w:rsid w:val="571B6330"/>
    <w:rsid w:val="57452EF0"/>
    <w:rsid w:val="57491CA9"/>
    <w:rsid w:val="575F63E7"/>
    <w:rsid w:val="577A2846"/>
    <w:rsid w:val="57A400D5"/>
    <w:rsid w:val="57A74BE4"/>
    <w:rsid w:val="57B6140A"/>
    <w:rsid w:val="57E1425F"/>
    <w:rsid w:val="57EB5860"/>
    <w:rsid w:val="57F84509"/>
    <w:rsid w:val="583D2BEA"/>
    <w:rsid w:val="58597EAC"/>
    <w:rsid w:val="586208D1"/>
    <w:rsid w:val="587D34C6"/>
    <w:rsid w:val="58833EFF"/>
    <w:rsid w:val="58C50723"/>
    <w:rsid w:val="58C84A2B"/>
    <w:rsid w:val="59192373"/>
    <w:rsid w:val="595F27A8"/>
    <w:rsid w:val="595F7983"/>
    <w:rsid w:val="59925F03"/>
    <w:rsid w:val="59D17210"/>
    <w:rsid w:val="5A0E2FB3"/>
    <w:rsid w:val="5A7250B5"/>
    <w:rsid w:val="5A9153AB"/>
    <w:rsid w:val="5AD74878"/>
    <w:rsid w:val="5B1A1C74"/>
    <w:rsid w:val="5B2F3AD2"/>
    <w:rsid w:val="5B384F96"/>
    <w:rsid w:val="5B596E31"/>
    <w:rsid w:val="5B7B1439"/>
    <w:rsid w:val="5B852648"/>
    <w:rsid w:val="5BA41403"/>
    <w:rsid w:val="5BCC566A"/>
    <w:rsid w:val="5C58100B"/>
    <w:rsid w:val="5C834FB3"/>
    <w:rsid w:val="5CD10EE9"/>
    <w:rsid w:val="5CDC74C3"/>
    <w:rsid w:val="5CE11FCA"/>
    <w:rsid w:val="5D083D43"/>
    <w:rsid w:val="5D307021"/>
    <w:rsid w:val="5D6B44A2"/>
    <w:rsid w:val="5D7465D2"/>
    <w:rsid w:val="5DD235F3"/>
    <w:rsid w:val="5DD25700"/>
    <w:rsid w:val="5DDC02E5"/>
    <w:rsid w:val="5E1973AD"/>
    <w:rsid w:val="5E417820"/>
    <w:rsid w:val="5E7247DE"/>
    <w:rsid w:val="5E96206C"/>
    <w:rsid w:val="5EAC1D92"/>
    <w:rsid w:val="5ED84F49"/>
    <w:rsid w:val="5F2D00CD"/>
    <w:rsid w:val="5F412AE0"/>
    <w:rsid w:val="5F5D6B9E"/>
    <w:rsid w:val="5F5E17A1"/>
    <w:rsid w:val="5F9E2877"/>
    <w:rsid w:val="60216631"/>
    <w:rsid w:val="602F7D96"/>
    <w:rsid w:val="60344225"/>
    <w:rsid w:val="60382172"/>
    <w:rsid w:val="60896100"/>
    <w:rsid w:val="60D12058"/>
    <w:rsid w:val="60F06D9D"/>
    <w:rsid w:val="614A6992"/>
    <w:rsid w:val="616241E3"/>
    <w:rsid w:val="618D6AD9"/>
    <w:rsid w:val="61F231E1"/>
    <w:rsid w:val="61FC7477"/>
    <w:rsid w:val="61FD4FD4"/>
    <w:rsid w:val="62B75C36"/>
    <w:rsid w:val="62C14AEC"/>
    <w:rsid w:val="62E67229"/>
    <w:rsid w:val="62F260A0"/>
    <w:rsid w:val="63130178"/>
    <w:rsid w:val="632D121B"/>
    <w:rsid w:val="6379529C"/>
    <w:rsid w:val="63BD3CC6"/>
    <w:rsid w:val="63BD5BC4"/>
    <w:rsid w:val="63DE2BB1"/>
    <w:rsid w:val="63E56284"/>
    <w:rsid w:val="640A7C37"/>
    <w:rsid w:val="642737D6"/>
    <w:rsid w:val="6442014E"/>
    <w:rsid w:val="644D3ECA"/>
    <w:rsid w:val="645B49F1"/>
    <w:rsid w:val="64D14416"/>
    <w:rsid w:val="65376A53"/>
    <w:rsid w:val="654A47EF"/>
    <w:rsid w:val="65651B01"/>
    <w:rsid w:val="6573734A"/>
    <w:rsid w:val="65780001"/>
    <w:rsid w:val="65DB7440"/>
    <w:rsid w:val="66750B23"/>
    <w:rsid w:val="668127EA"/>
    <w:rsid w:val="66D0667B"/>
    <w:rsid w:val="66DB5E38"/>
    <w:rsid w:val="66E928A7"/>
    <w:rsid w:val="66F2388F"/>
    <w:rsid w:val="66F26B88"/>
    <w:rsid w:val="670E60E6"/>
    <w:rsid w:val="673752EB"/>
    <w:rsid w:val="67427F1F"/>
    <w:rsid w:val="67643A6C"/>
    <w:rsid w:val="67770B7F"/>
    <w:rsid w:val="6786757C"/>
    <w:rsid w:val="678A3E96"/>
    <w:rsid w:val="67B46A75"/>
    <w:rsid w:val="67C401AA"/>
    <w:rsid w:val="67C40BD1"/>
    <w:rsid w:val="6843445E"/>
    <w:rsid w:val="685B5EA4"/>
    <w:rsid w:val="68665B3B"/>
    <w:rsid w:val="68AD7231"/>
    <w:rsid w:val="68BA2290"/>
    <w:rsid w:val="693E7D36"/>
    <w:rsid w:val="695279E2"/>
    <w:rsid w:val="695F1BFF"/>
    <w:rsid w:val="696F7859"/>
    <w:rsid w:val="69707473"/>
    <w:rsid w:val="699138E0"/>
    <w:rsid w:val="69CB31A3"/>
    <w:rsid w:val="69DE5401"/>
    <w:rsid w:val="69F64DE0"/>
    <w:rsid w:val="6A17365A"/>
    <w:rsid w:val="6A1A37F4"/>
    <w:rsid w:val="6A3232CE"/>
    <w:rsid w:val="6A473F4E"/>
    <w:rsid w:val="6A484FDE"/>
    <w:rsid w:val="6A5837A7"/>
    <w:rsid w:val="6A69021C"/>
    <w:rsid w:val="6A7C21B2"/>
    <w:rsid w:val="6A7D72D4"/>
    <w:rsid w:val="6A9E54A9"/>
    <w:rsid w:val="6AB0511C"/>
    <w:rsid w:val="6AB50174"/>
    <w:rsid w:val="6AD85019"/>
    <w:rsid w:val="6AED4D08"/>
    <w:rsid w:val="6AF862D9"/>
    <w:rsid w:val="6B092B0F"/>
    <w:rsid w:val="6B3703D8"/>
    <w:rsid w:val="6B3731F2"/>
    <w:rsid w:val="6B9C634B"/>
    <w:rsid w:val="6BF00966"/>
    <w:rsid w:val="6C0E5875"/>
    <w:rsid w:val="6C4D08CF"/>
    <w:rsid w:val="6C9F1A9E"/>
    <w:rsid w:val="6CB57D20"/>
    <w:rsid w:val="6CC93311"/>
    <w:rsid w:val="6CEB5140"/>
    <w:rsid w:val="6D013343"/>
    <w:rsid w:val="6D2E4662"/>
    <w:rsid w:val="6D397F6D"/>
    <w:rsid w:val="6D5528D2"/>
    <w:rsid w:val="6D5A28F6"/>
    <w:rsid w:val="6D733407"/>
    <w:rsid w:val="6DA84AA3"/>
    <w:rsid w:val="6DB42327"/>
    <w:rsid w:val="6DCD3F74"/>
    <w:rsid w:val="6E355BF6"/>
    <w:rsid w:val="6E402093"/>
    <w:rsid w:val="6E6C4B80"/>
    <w:rsid w:val="6E920258"/>
    <w:rsid w:val="6EB62705"/>
    <w:rsid w:val="6EE058C1"/>
    <w:rsid w:val="6EF87322"/>
    <w:rsid w:val="6F0165CE"/>
    <w:rsid w:val="6F417C8C"/>
    <w:rsid w:val="6F494517"/>
    <w:rsid w:val="6F4B57FA"/>
    <w:rsid w:val="6F783FDC"/>
    <w:rsid w:val="6F8A482D"/>
    <w:rsid w:val="6FC933BC"/>
    <w:rsid w:val="6FE0321B"/>
    <w:rsid w:val="6FE22E63"/>
    <w:rsid w:val="6FEF63F3"/>
    <w:rsid w:val="6FF67334"/>
    <w:rsid w:val="705B59B3"/>
    <w:rsid w:val="707574CC"/>
    <w:rsid w:val="708B18C3"/>
    <w:rsid w:val="709E093B"/>
    <w:rsid w:val="71261FDA"/>
    <w:rsid w:val="716978E9"/>
    <w:rsid w:val="716E57D1"/>
    <w:rsid w:val="722B283D"/>
    <w:rsid w:val="728430F0"/>
    <w:rsid w:val="7284626F"/>
    <w:rsid w:val="728E4CD0"/>
    <w:rsid w:val="72920EA0"/>
    <w:rsid w:val="72B317F5"/>
    <w:rsid w:val="730B51E1"/>
    <w:rsid w:val="73157D34"/>
    <w:rsid w:val="73350ABE"/>
    <w:rsid w:val="734124B9"/>
    <w:rsid w:val="735E54BD"/>
    <w:rsid w:val="7360179B"/>
    <w:rsid w:val="73CB5956"/>
    <w:rsid w:val="73CD7029"/>
    <w:rsid w:val="73DD7001"/>
    <w:rsid w:val="73FC2064"/>
    <w:rsid w:val="73FD3CF1"/>
    <w:rsid w:val="744A4A0B"/>
    <w:rsid w:val="749E018E"/>
    <w:rsid w:val="74A6063E"/>
    <w:rsid w:val="74A75671"/>
    <w:rsid w:val="74B56936"/>
    <w:rsid w:val="75073D9A"/>
    <w:rsid w:val="752002DD"/>
    <w:rsid w:val="7523034E"/>
    <w:rsid w:val="75E41389"/>
    <w:rsid w:val="761F23C4"/>
    <w:rsid w:val="763724FD"/>
    <w:rsid w:val="76434114"/>
    <w:rsid w:val="764B282C"/>
    <w:rsid w:val="7670182D"/>
    <w:rsid w:val="76904DA5"/>
    <w:rsid w:val="769B59A0"/>
    <w:rsid w:val="76D13E1B"/>
    <w:rsid w:val="76D17431"/>
    <w:rsid w:val="76F44598"/>
    <w:rsid w:val="771209DE"/>
    <w:rsid w:val="771969B5"/>
    <w:rsid w:val="774C713B"/>
    <w:rsid w:val="77553E14"/>
    <w:rsid w:val="775C0C37"/>
    <w:rsid w:val="776E7FAF"/>
    <w:rsid w:val="77A4354B"/>
    <w:rsid w:val="77F0412D"/>
    <w:rsid w:val="780C4BD0"/>
    <w:rsid w:val="78173A12"/>
    <w:rsid w:val="789A7693"/>
    <w:rsid w:val="78BB646F"/>
    <w:rsid w:val="78DA4ED4"/>
    <w:rsid w:val="78DB1A80"/>
    <w:rsid w:val="78DE7526"/>
    <w:rsid w:val="78F418AA"/>
    <w:rsid w:val="791F2563"/>
    <w:rsid w:val="792D4E9C"/>
    <w:rsid w:val="79301151"/>
    <w:rsid w:val="795A6D84"/>
    <w:rsid w:val="7A1279AC"/>
    <w:rsid w:val="7A2B5CF3"/>
    <w:rsid w:val="7A53256D"/>
    <w:rsid w:val="7A637B51"/>
    <w:rsid w:val="7A6D3F57"/>
    <w:rsid w:val="7A8626B3"/>
    <w:rsid w:val="7A934EEA"/>
    <w:rsid w:val="7AA818D3"/>
    <w:rsid w:val="7AE03431"/>
    <w:rsid w:val="7B045E36"/>
    <w:rsid w:val="7B0A1B9C"/>
    <w:rsid w:val="7B6C40AD"/>
    <w:rsid w:val="7B6F1021"/>
    <w:rsid w:val="7BEA73FB"/>
    <w:rsid w:val="7C2E1477"/>
    <w:rsid w:val="7C6669D1"/>
    <w:rsid w:val="7C791A15"/>
    <w:rsid w:val="7C953AE6"/>
    <w:rsid w:val="7CB31A23"/>
    <w:rsid w:val="7CDD5E85"/>
    <w:rsid w:val="7CF6685F"/>
    <w:rsid w:val="7D5461AC"/>
    <w:rsid w:val="7DBE7D90"/>
    <w:rsid w:val="7DF00693"/>
    <w:rsid w:val="7DF26256"/>
    <w:rsid w:val="7E0971E8"/>
    <w:rsid w:val="7E206695"/>
    <w:rsid w:val="7E27613D"/>
    <w:rsid w:val="7E674EAE"/>
    <w:rsid w:val="7E9A79EA"/>
    <w:rsid w:val="7F301275"/>
    <w:rsid w:val="7F451FB4"/>
    <w:rsid w:val="7F66298A"/>
    <w:rsid w:val="7F6650DD"/>
    <w:rsid w:val="7F76725F"/>
    <w:rsid w:val="7FCB4F4C"/>
    <w:rsid w:val="7FDA3434"/>
    <w:rsid w:val="7FF20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1706</Words>
  <Characters>1841</Characters>
  <Lines>9</Lines>
  <Paragraphs>2</Paragraphs>
  <TotalTime>48</TotalTime>
  <ScaleCrop>false</ScaleCrop>
  <LinksUpToDate>false</LinksUpToDate>
  <CharactersWithSpaces>1853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2022-10-19T08:28:29Z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5915BFA2ADB9431AB3A1984E2238FBE3</vt:lpwstr>
  </property>
</Properties>
</file>