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line="590" w:lineRule="exact"/>
        <w:ind w:left="0" w:right="0"/>
        <w:jc w:val="both"/>
        <w:rPr>
          <w:rFonts w:hint="eastAsia" w:ascii="黑体" w:hAnsi="宋体" w:eastAsia="黑体" w:cs="仿宋"/>
          <w:lang w:val="en-US"/>
        </w:rPr>
      </w:pPr>
      <w:bookmarkStart w:id="0" w:name="_GoBack"/>
      <w:bookmarkEnd w:id="0"/>
      <w:r>
        <w:rPr>
          <w:rFonts w:hint="eastAsia" w:ascii="黑体" w:hAnsi="宋体" w:eastAsia="黑体" w:cs="仿宋"/>
          <w:kern w:val="2"/>
          <w:sz w:val="32"/>
          <w:szCs w:val="24"/>
          <w:lang w:val="en-US" w:eastAsia="zh-CN" w:bidi="ar"/>
        </w:rPr>
        <w:t>附件14</w:t>
      </w:r>
    </w:p>
    <w:p>
      <w:pPr>
        <w:keepNext w:val="0"/>
        <w:keepLines w:val="0"/>
        <w:widowControl w:val="0"/>
        <w:suppressLineNumbers w:val="0"/>
        <w:spacing w:before="0" w:beforeAutospacing="0" w:after="0" w:afterAutospacing="0" w:line="400" w:lineRule="exact"/>
        <w:ind w:left="0" w:right="0"/>
        <w:jc w:val="both"/>
        <w:rPr>
          <w:rFonts w:hint="eastAsia" w:ascii="黑体" w:hAnsi="宋体" w:eastAsia="黑体" w:cs="仿宋"/>
          <w:lang w:val="en-US"/>
        </w:rPr>
      </w:pPr>
    </w:p>
    <w:p>
      <w:pPr>
        <w:keepNext w:val="0"/>
        <w:keepLines w:val="0"/>
        <w:widowControl/>
        <w:suppressLineNumbers w:val="0"/>
        <w:shd w:val="clear" w:fill="FFFFFF"/>
        <w:snapToGrid w:val="0"/>
        <w:spacing w:before="0" w:beforeAutospacing="0" w:after="0" w:afterAutospacing="0" w:line="590" w:lineRule="exact"/>
        <w:ind w:left="0" w:right="0"/>
        <w:jc w:val="center"/>
        <w:rPr>
          <w:rFonts w:hint="eastAsia" w:ascii="方正小标宋简体" w:hAnsi="仿宋" w:eastAsia="方正小标宋简体" w:cs="仿宋"/>
          <w:sz w:val="44"/>
          <w:szCs w:val="44"/>
          <w:shd w:val="clear" w:fill="FFFFFF"/>
          <w:lang w:val="en-US"/>
        </w:rPr>
      </w:pPr>
      <w:r>
        <w:rPr>
          <w:rFonts w:hint="eastAsia" w:ascii="方正小标宋简体" w:hAnsi="仿宋" w:eastAsia="方正小标宋简体" w:cs="仿宋"/>
          <w:kern w:val="2"/>
          <w:sz w:val="44"/>
          <w:szCs w:val="44"/>
          <w:shd w:val="clear" w:fill="FFFFFF"/>
          <w:lang w:val="en-US" w:eastAsia="zh-CN" w:bidi="ar"/>
        </w:rPr>
        <w:t>关于部分抽检项目的说明</w:t>
      </w:r>
    </w:p>
    <w:p>
      <w:pPr>
        <w:keepNext w:val="0"/>
        <w:keepLines w:val="0"/>
        <w:widowControl/>
        <w:suppressLineNumbers w:val="0"/>
        <w:shd w:val="clear" w:fill="FFFFFF"/>
        <w:snapToGrid w:val="0"/>
        <w:spacing w:before="0" w:beforeAutospacing="0" w:after="0" w:afterAutospacing="0" w:line="460" w:lineRule="exact"/>
        <w:ind w:left="0" w:right="0"/>
        <w:jc w:val="both"/>
        <w:rPr>
          <w:shd w:val="clear" w:fill="FFFFFF"/>
          <w:lang w:val="en-US"/>
        </w:rPr>
      </w:pPr>
    </w:p>
    <w:p>
      <w:pPr>
        <w:keepNext w:val="0"/>
        <w:keepLines w:val="0"/>
        <w:widowControl w:val="0"/>
        <w:suppressLineNumbers w:val="0"/>
        <w:spacing w:before="0" w:beforeAutospacing="0" w:after="0" w:afterAutospacing="0" w:line="588" w:lineRule="exact"/>
        <w:ind w:left="0" w:right="0" w:firstLine="640" w:firstLineChars="200"/>
        <w:jc w:val="both"/>
        <w:rPr>
          <w:rFonts w:eastAsia="黑体"/>
          <w:lang w:val="en-US"/>
        </w:rPr>
      </w:pPr>
      <w:r>
        <w:rPr>
          <w:rFonts w:hint="eastAsia" w:ascii="Times New Roman" w:hAnsi="Times New Roman" w:eastAsia="黑体" w:cs="黑体"/>
          <w:kern w:val="2"/>
          <w:sz w:val="32"/>
          <w:szCs w:val="24"/>
          <w:lang w:val="en-US" w:eastAsia="zh-CN" w:bidi="ar"/>
        </w:rPr>
        <w:t>一、</w:t>
      </w:r>
      <w:r>
        <w:rPr>
          <w:rFonts w:hint="eastAsia" w:ascii="黑体" w:hAnsi="宋体" w:eastAsia="黑体" w:cs="黑体"/>
          <w:kern w:val="2"/>
          <w:sz w:val="32"/>
          <w:szCs w:val="24"/>
          <w:lang w:val="en-US" w:eastAsia="zh-CN" w:bidi="ar"/>
        </w:rPr>
        <w:t>铜绿假单胞菌</w:t>
      </w:r>
    </w:p>
    <w:p>
      <w:pPr>
        <w:keepNext w:val="0"/>
        <w:keepLines w:val="0"/>
        <w:widowControl/>
        <w:suppressLineNumbers w:val="0"/>
        <w:shd w:val="clear" w:fill="FFFFFF"/>
        <w:snapToGrid w:val="0"/>
        <w:spacing w:before="0" w:beforeAutospacing="0" w:after="0" w:afterAutospacing="0" w:line="588" w:lineRule="exact"/>
        <w:ind w:left="0" w:right="0" w:firstLine="640" w:firstLineChars="200"/>
        <w:jc w:val="both"/>
        <w:rPr>
          <w:shd w:val="clear" w:fill="FFFFFF"/>
          <w:lang w:val="en-US"/>
        </w:rPr>
      </w:pPr>
      <w:r>
        <w:rPr>
          <w:rFonts w:hint="eastAsia" w:ascii="Times New Roman" w:hAnsi="Times New Roman" w:eastAsia="仿宋_GB2312" w:cs="仿宋_GB2312"/>
          <w:kern w:val="2"/>
          <w:sz w:val="32"/>
          <w:szCs w:val="24"/>
          <w:shd w:val="clear" w:fill="FFFFFF"/>
          <w:lang w:val="en-US" w:eastAsia="zh-CN" w:bidi="ar"/>
        </w:rPr>
        <w:t>铜绿假单胞菌是一种常见的条件致病菌，属于非发酵革兰氏阴性杆菌。铜绿假单胞菌普遍存在，在潮湿环境尤甚。饮用水中超标可能是由于个别企业未按要求严格控制生产加工过程的卫生条件，或者包装容器清洗消毒不到位等有关。</w:t>
      </w:r>
    </w:p>
    <w:p>
      <w:pPr>
        <w:keepNext w:val="0"/>
        <w:keepLines w:val="0"/>
        <w:widowControl w:val="0"/>
        <w:suppressLineNumbers w:val="0"/>
        <w:spacing w:before="0" w:beforeAutospacing="0" w:after="0" w:afterAutospacing="0" w:line="588" w:lineRule="exact"/>
        <w:ind w:left="0" w:right="0" w:firstLine="640" w:firstLineChars="200"/>
        <w:jc w:val="both"/>
        <w:rPr>
          <w:rFonts w:eastAsia="黑体"/>
          <w:lang w:val="en-US"/>
        </w:rPr>
      </w:pPr>
      <w:r>
        <w:rPr>
          <w:rFonts w:hint="eastAsia" w:ascii="Times New Roman" w:hAnsi="Times New Roman" w:eastAsia="黑体" w:cs="黑体"/>
          <w:kern w:val="2"/>
          <w:sz w:val="32"/>
          <w:szCs w:val="24"/>
          <w:lang w:val="en-US" w:eastAsia="zh-CN" w:bidi="ar"/>
        </w:rPr>
        <w:t>二、</w:t>
      </w:r>
      <w:r>
        <w:rPr>
          <w:rFonts w:hint="eastAsia" w:ascii="黑体" w:hAnsi="宋体" w:eastAsia="黑体" w:cs="黑体"/>
          <w:kern w:val="2"/>
          <w:sz w:val="32"/>
          <w:szCs w:val="24"/>
          <w:lang w:val="en-US" w:eastAsia="zh-CN" w:bidi="ar"/>
        </w:rPr>
        <w:t>氨基酸态氮</w:t>
      </w:r>
    </w:p>
    <w:p>
      <w:pPr>
        <w:keepNext w:val="0"/>
        <w:keepLines w:val="0"/>
        <w:widowControl/>
        <w:suppressLineNumbers w:val="0"/>
        <w:shd w:val="clear" w:fill="FFFFFF"/>
        <w:snapToGrid w:val="0"/>
        <w:spacing w:before="0" w:beforeAutospacing="0" w:after="0" w:afterAutospacing="0" w:line="588" w:lineRule="exact"/>
        <w:ind w:left="0" w:right="0" w:firstLine="640" w:firstLineChars="200"/>
        <w:jc w:val="both"/>
        <w:rPr>
          <w:shd w:val="clear" w:fill="FFFFFF"/>
          <w:lang w:val="en-US"/>
        </w:rPr>
      </w:pPr>
      <w:r>
        <w:rPr>
          <w:rFonts w:hint="eastAsia" w:ascii="Times New Roman" w:hAnsi="Times New Roman" w:eastAsia="仿宋_GB2312" w:cs="仿宋_GB2312"/>
          <w:kern w:val="2"/>
          <w:sz w:val="32"/>
          <w:szCs w:val="32"/>
          <w:shd w:val="clear" w:fill="FFFFFF"/>
          <w:lang w:val="en-US" w:eastAsia="zh-CN" w:bidi="ar"/>
        </w:rPr>
        <w:t>氨基酸态氮是酱油、酿造酱等产品的特征性品质指标之一。氨基酸态氮含量越高，产品的质量越好，鲜味越浓。氨基酸态氮不合格，主要影响的是产品的风味。氨基酸态氮含量不达标，可能是产品生产工艺不符合标准要求，未达到要求发酵的时间；也有可能是产品配方缺陷的问题；还有可能存在个别生产经营企业在生产过程中为降低成本而故意掺假的情况</w:t>
      </w:r>
      <w:r>
        <w:rPr>
          <w:rFonts w:hint="eastAsia" w:ascii="Times New Roman" w:hAnsi="Times New Roman" w:eastAsia="仿宋_GB2312" w:cs="仿宋_GB2312"/>
          <w:kern w:val="2"/>
          <w:sz w:val="32"/>
          <w:szCs w:val="24"/>
          <w:shd w:val="clear" w:fill="FFFFFF"/>
          <w:lang w:val="en-US" w:eastAsia="zh-CN" w:bidi="ar"/>
        </w:rPr>
        <w:t>。</w:t>
      </w:r>
    </w:p>
    <w:p>
      <w:pPr>
        <w:keepNext w:val="0"/>
        <w:keepLines w:val="0"/>
        <w:widowControl w:val="0"/>
        <w:suppressLineNumbers w:val="0"/>
        <w:spacing w:before="0" w:beforeAutospacing="0" w:after="0" w:afterAutospacing="0" w:line="588" w:lineRule="exact"/>
        <w:ind w:left="0" w:right="0" w:firstLine="640" w:firstLineChars="200"/>
        <w:jc w:val="both"/>
        <w:rPr>
          <w:rFonts w:eastAsia="黑体"/>
          <w:lang w:val="en-US"/>
        </w:rPr>
      </w:pPr>
      <w:r>
        <w:rPr>
          <w:rFonts w:hint="eastAsia" w:ascii="Times New Roman" w:hAnsi="Times New Roman" w:eastAsia="黑体" w:cs="黑体"/>
          <w:kern w:val="2"/>
          <w:sz w:val="32"/>
          <w:szCs w:val="24"/>
          <w:lang w:val="en-US" w:eastAsia="zh-CN" w:bidi="ar"/>
        </w:rPr>
        <w:t>三、</w:t>
      </w:r>
      <w:r>
        <w:rPr>
          <w:rFonts w:hint="eastAsia" w:ascii="黑体" w:hAnsi="宋体" w:eastAsia="黑体" w:cs="黑体"/>
          <w:kern w:val="2"/>
          <w:sz w:val="32"/>
          <w:szCs w:val="24"/>
          <w:lang w:val="en-US" w:eastAsia="zh-CN" w:bidi="ar"/>
        </w:rPr>
        <w:t>防腐剂混合使用时各自用量占其最大使用量的比例之和</w:t>
      </w:r>
    </w:p>
    <w:p>
      <w:pPr>
        <w:keepNext w:val="0"/>
        <w:keepLines w:val="0"/>
        <w:widowControl w:val="0"/>
        <w:suppressLineNumbers w:val="0"/>
        <w:shd w:val="clear" w:fill="FFFFFF"/>
        <w:snapToGrid w:val="0"/>
        <w:spacing w:before="0" w:beforeAutospacing="0" w:after="0" w:afterAutospacing="0" w:line="588" w:lineRule="exact"/>
        <w:ind w:left="0" w:right="0" w:firstLine="640" w:firstLineChars="200"/>
        <w:jc w:val="both"/>
        <w:rPr>
          <w:shd w:val="clear" w:fill="FFFFFF"/>
          <w:lang w:val="en-US"/>
        </w:rPr>
      </w:pPr>
      <w:r>
        <w:rPr>
          <w:rFonts w:hint="eastAsia" w:ascii="Times New Roman" w:hAnsi="Times New Roman" w:eastAsia="仿宋_GB2312" w:cs="仿宋_GB2312"/>
          <w:kern w:val="2"/>
          <w:sz w:val="32"/>
          <w:szCs w:val="24"/>
          <w:shd w:val="clear" w:fill="FFFFFF"/>
          <w:lang w:val="en-US" w:eastAsia="zh-CN" w:bidi="ar"/>
        </w:rPr>
        <w:t>防腐剂是常见的食品添加剂，指天然或合成的化学成分，用于延缓或抑制由微生物引起的食品腐败变质。长期食用防腐剂超标的食品会对人体健康造成损害。《食品安全国家标准</w:t>
      </w:r>
      <w:r>
        <w:rPr>
          <w:rFonts w:hint="default" w:ascii="Times New Roman" w:hAnsi="Times New Roman" w:eastAsia="仿宋_GB2312" w:cs="Times New Roman"/>
          <w:snapToGrid w:val="0"/>
          <w:kern w:val="2"/>
          <w:sz w:val="32"/>
          <w:szCs w:val="24"/>
          <w:shd w:val="clear" w:fill="FFFFFF"/>
          <w:lang w:val="en-US" w:eastAsia="zh-CN" w:bidi="ar"/>
        </w:rPr>
        <w:t xml:space="preserve"> </w:t>
      </w:r>
      <w:r>
        <w:rPr>
          <w:rFonts w:hint="eastAsia" w:ascii="Times New Roman" w:hAnsi="Times New Roman" w:eastAsia="仿宋_GB2312" w:cs="仿宋_GB2312"/>
          <w:kern w:val="2"/>
          <w:sz w:val="32"/>
          <w:szCs w:val="24"/>
          <w:shd w:val="clear" w:fill="FFFFFF"/>
          <w:lang w:val="en-US" w:eastAsia="zh-CN" w:bidi="ar"/>
        </w:rPr>
        <w:t>食品添加剂使用标准》（</w:t>
      </w:r>
      <w:r>
        <w:rPr>
          <w:rFonts w:hint="default" w:ascii="Times New Roman" w:hAnsi="Times New Roman" w:eastAsia="仿宋_GB2312" w:cs="Times New Roman"/>
          <w:kern w:val="2"/>
          <w:sz w:val="32"/>
          <w:szCs w:val="24"/>
          <w:shd w:val="clear" w:fill="FFFFFF"/>
          <w:lang w:val="en-US" w:eastAsia="zh-CN" w:bidi="ar"/>
        </w:rPr>
        <w:t>GB 2760-2014</w:t>
      </w:r>
      <w:r>
        <w:rPr>
          <w:rFonts w:hint="eastAsia" w:ascii="Times New Roman" w:hAnsi="Times New Roman" w:eastAsia="仿宋_GB2312" w:cs="仿宋_GB2312"/>
          <w:kern w:val="2"/>
          <w:sz w:val="32"/>
          <w:szCs w:val="24"/>
          <w:shd w:val="clear" w:fill="FFFFFF"/>
          <w:lang w:val="en-US" w:eastAsia="zh-CN" w:bidi="ar"/>
        </w:rPr>
        <w:t>）中规定，防腐剂在混合使用时各自用量占其最大使用量的比例之和超标的原因可能是生产企业在生产加工过程中未严格控制各防腐剂的用量。</w:t>
      </w:r>
    </w:p>
    <w:p>
      <w:pPr>
        <w:keepNext w:val="0"/>
        <w:keepLines w:val="0"/>
        <w:widowControl w:val="0"/>
        <w:suppressLineNumbers w:val="0"/>
        <w:spacing w:before="0" w:beforeAutospacing="0" w:after="0" w:afterAutospacing="0" w:line="588" w:lineRule="exact"/>
        <w:ind w:left="0" w:right="0" w:firstLine="640" w:firstLineChars="200"/>
        <w:jc w:val="both"/>
        <w:rPr>
          <w:rFonts w:eastAsia="黑体"/>
          <w:lang w:val="en-US"/>
        </w:rPr>
      </w:pPr>
      <w:r>
        <w:rPr>
          <w:rFonts w:hint="eastAsia" w:ascii="Times New Roman" w:hAnsi="Times New Roman" w:eastAsia="黑体" w:cs="黑体"/>
          <w:kern w:val="2"/>
          <w:sz w:val="32"/>
          <w:szCs w:val="24"/>
          <w:lang w:val="en-US" w:eastAsia="zh-CN" w:bidi="ar"/>
        </w:rPr>
        <w:t>四、</w:t>
      </w:r>
      <w:r>
        <w:rPr>
          <w:rFonts w:hint="eastAsia" w:ascii="黑体" w:hAnsi="宋体" w:eastAsia="黑体" w:cs="黑体"/>
          <w:kern w:val="2"/>
          <w:sz w:val="32"/>
          <w:szCs w:val="24"/>
          <w:lang w:val="en-US" w:eastAsia="zh-CN" w:bidi="ar"/>
        </w:rPr>
        <w:t>总砷（以As计）</w:t>
      </w:r>
    </w:p>
    <w:p>
      <w:pPr>
        <w:keepNext w:val="0"/>
        <w:keepLines w:val="0"/>
        <w:widowControl/>
        <w:suppressLineNumbers w:val="0"/>
        <w:shd w:val="clear" w:fill="FFFFFF"/>
        <w:snapToGrid w:val="0"/>
        <w:spacing w:before="0" w:beforeAutospacing="0" w:after="0" w:afterAutospacing="0" w:line="588" w:lineRule="exact"/>
        <w:ind w:left="0" w:right="0" w:firstLine="640" w:firstLineChars="200"/>
        <w:jc w:val="both"/>
        <w:rPr>
          <w:shd w:val="clear" w:fill="FFFFFF"/>
          <w:lang w:val="en-US"/>
        </w:rPr>
      </w:pPr>
      <w:r>
        <w:rPr>
          <w:rFonts w:hint="eastAsia" w:ascii="Times New Roman" w:hAnsi="Times New Roman" w:eastAsia="仿宋_GB2312" w:cs="仿宋_GB2312"/>
          <w:kern w:val="2"/>
          <w:sz w:val="32"/>
          <w:szCs w:val="24"/>
          <w:shd w:val="clear" w:fill="FFFFFF"/>
          <w:lang w:val="en-US" w:eastAsia="zh-CN" w:bidi="ar"/>
        </w:rPr>
        <w:t>砷是一种类金属元素，主要存在于土壤、空气和水中。食物中砷污染主要来源于含砷农药、环境砷污染、含砷的原料等。食物中的砷以不同形态存在，包括无机砷以及有机砷</w:t>
      </w:r>
      <w:r>
        <w:rPr>
          <w:rFonts w:hint="default" w:ascii="Times New Roman" w:hAnsi="Times New Roman" w:eastAsia="仿宋_GB2312" w:cs="Times New Roman"/>
          <w:kern w:val="2"/>
          <w:sz w:val="32"/>
          <w:szCs w:val="24"/>
          <w:shd w:val="clear" w:fill="FFFFFF"/>
          <w:lang w:val="en-US" w:eastAsia="zh-CN" w:bidi="ar"/>
        </w:rPr>
        <w:t>,</w:t>
      </w:r>
      <w:r>
        <w:rPr>
          <w:rFonts w:hint="eastAsia" w:ascii="Times New Roman" w:hAnsi="Times New Roman" w:eastAsia="仿宋_GB2312" w:cs="仿宋_GB2312"/>
          <w:kern w:val="2"/>
          <w:sz w:val="32"/>
          <w:szCs w:val="24"/>
          <w:shd w:val="clear" w:fill="FFFFFF"/>
          <w:lang w:val="en-US" w:eastAsia="zh-CN" w:bidi="ar"/>
        </w:rPr>
        <w:t>合计为总砷。砷主要通过饮水、食物经消化道进入体内。长期大量摄入无机砷超标的食品可能导致皮肤损害、发育毒性、神经毒性、糖尿病等。《食品安全国家标准</w:t>
      </w:r>
      <w:r>
        <w:rPr>
          <w:rFonts w:hint="default" w:ascii="Times New Roman" w:hAnsi="Times New Roman" w:eastAsia="仿宋_GB2312" w:cs="Times New Roman"/>
          <w:snapToGrid w:val="0"/>
          <w:kern w:val="2"/>
          <w:sz w:val="32"/>
          <w:szCs w:val="24"/>
          <w:shd w:val="clear" w:fill="FFFFFF"/>
          <w:lang w:val="en-US" w:eastAsia="zh-CN" w:bidi="ar"/>
        </w:rPr>
        <w:t xml:space="preserve"> </w:t>
      </w:r>
      <w:r>
        <w:rPr>
          <w:rFonts w:hint="eastAsia" w:ascii="Times New Roman" w:hAnsi="Times New Roman" w:eastAsia="仿宋_GB2312" w:cs="仿宋_GB2312"/>
          <w:kern w:val="2"/>
          <w:sz w:val="32"/>
          <w:szCs w:val="24"/>
          <w:shd w:val="clear" w:fill="FFFFFF"/>
          <w:lang w:val="en-US" w:eastAsia="zh-CN" w:bidi="ar"/>
        </w:rPr>
        <w:t>食品中污染物限量》（</w:t>
      </w:r>
      <w:r>
        <w:rPr>
          <w:rFonts w:hint="default" w:ascii="Times New Roman" w:hAnsi="Times New Roman" w:eastAsia="仿宋_GB2312" w:cs="Times New Roman"/>
          <w:kern w:val="2"/>
          <w:sz w:val="32"/>
          <w:szCs w:val="24"/>
          <w:shd w:val="clear" w:fill="FFFFFF"/>
          <w:lang w:val="en-US" w:eastAsia="zh-CN" w:bidi="ar"/>
        </w:rPr>
        <w:t>GB 2762-2017</w:t>
      </w:r>
      <w:r>
        <w:rPr>
          <w:rFonts w:hint="eastAsia" w:ascii="Times New Roman" w:hAnsi="Times New Roman" w:eastAsia="仿宋_GB2312" w:cs="仿宋_GB2312"/>
          <w:kern w:val="2"/>
          <w:sz w:val="32"/>
          <w:szCs w:val="24"/>
          <w:shd w:val="clear" w:fill="FFFFFF"/>
          <w:lang w:val="en-US" w:eastAsia="zh-CN" w:bidi="ar"/>
        </w:rPr>
        <w:t>）中规定，调味品（水产调味品、藻类调味品和香辛料类除外）中总砷的最高限量值为</w:t>
      </w:r>
      <w:r>
        <w:rPr>
          <w:rFonts w:hint="default" w:ascii="Times New Roman" w:hAnsi="Times New Roman" w:eastAsia="仿宋_GB2312" w:cs="Times New Roman"/>
          <w:kern w:val="2"/>
          <w:sz w:val="32"/>
          <w:szCs w:val="24"/>
          <w:shd w:val="clear" w:fill="FFFFFF"/>
          <w:lang w:val="en-US" w:eastAsia="zh-CN" w:bidi="ar"/>
        </w:rPr>
        <w:t>0.5mg/kg</w:t>
      </w:r>
      <w:r>
        <w:rPr>
          <w:rFonts w:hint="eastAsia" w:ascii="Times New Roman" w:hAnsi="Times New Roman" w:eastAsia="仿宋_GB2312" w:cs="仿宋_GB2312"/>
          <w:kern w:val="2"/>
          <w:sz w:val="32"/>
          <w:szCs w:val="24"/>
          <w:shd w:val="clear" w:fill="FFFFFF"/>
          <w:lang w:val="en-US" w:eastAsia="zh-CN" w:bidi="ar"/>
        </w:rPr>
        <w:t>。总砷超标的原因可能是生产企业使用的原料中砷含量超标。</w:t>
      </w:r>
    </w:p>
    <w:p>
      <w:pPr>
        <w:keepNext w:val="0"/>
        <w:keepLines w:val="0"/>
        <w:widowControl w:val="0"/>
        <w:suppressLineNumbers w:val="0"/>
        <w:spacing w:before="0" w:beforeAutospacing="0" w:after="0" w:afterAutospacing="0" w:line="588" w:lineRule="exact"/>
        <w:ind w:left="0" w:right="0" w:firstLine="640" w:firstLineChars="200"/>
        <w:jc w:val="both"/>
        <w:rPr>
          <w:rFonts w:eastAsia="黑体"/>
          <w:lang w:val="en-US"/>
        </w:rPr>
      </w:pPr>
      <w:r>
        <w:rPr>
          <w:rFonts w:hint="eastAsia" w:ascii="Times New Roman" w:hAnsi="Times New Roman" w:eastAsia="黑体" w:cs="黑体"/>
          <w:kern w:val="2"/>
          <w:sz w:val="32"/>
          <w:szCs w:val="24"/>
          <w:lang w:val="en-US" w:eastAsia="zh-CN" w:bidi="ar"/>
        </w:rPr>
        <w:t>五、</w:t>
      </w:r>
      <w:r>
        <w:rPr>
          <w:rFonts w:hint="eastAsia" w:ascii="黑体" w:hAnsi="宋体" w:eastAsia="黑体" w:cs="黑体"/>
          <w:kern w:val="2"/>
          <w:sz w:val="32"/>
          <w:szCs w:val="24"/>
          <w:lang w:val="en-US" w:eastAsia="zh-CN" w:bidi="ar"/>
        </w:rPr>
        <w:t>溴酸盐</w:t>
      </w:r>
    </w:p>
    <w:p>
      <w:pPr>
        <w:keepNext w:val="0"/>
        <w:keepLines w:val="0"/>
        <w:widowControl/>
        <w:suppressLineNumbers w:val="0"/>
        <w:shd w:val="clear" w:fill="FFFFFF"/>
        <w:snapToGrid w:val="0"/>
        <w:spacing w:before="0" w:beforeAutospacing="0" w:after="0" w:afterAutospacing="0" w:line="588" w:lineRule="exact"/>
        <w:ind w:left="0" w:right="0" w:firstLine="640" w:firstLineChars="200"/>
        <w:jc w:val="both"/>
        <w:rPr>
          <w:shd w:val="clear" w:fill="FFFFFF"/>
          <w:lang w:val="en-US"/>
        </w:rPr>
      </w:pPr>
      <w:r>
        <w:rPr>
          <w:rFonts w:hint="eastAsia" w:ascii="Times New Roman" w:hAnsi="Times New Roman" w:eastAsia="仿宋_GB2312" w:cs="仿宋_GB2312"/>
          <w:kern w:val="2"/>
          <w:sz w:val="32"/>
          <w:szCs w:val="24"/>
          <w:shd w:val="clear" w:fill="FFFFFF"/>
          <w:lang w:val="en-US" w:eastAsia="zh-CN" w:bidi="ar"/>
        </w:rPr>
        <w:t>溴酸盐是桶装水生产过程中经臭氧消毒后生成的有害消毒副产物，在国际上被定为</w:t>
      </w:r>
      <w:r>
        <w:rPr>
          <w:rFonts w:hint="default" w:ascii="Times New Roman" w:hAnsi="Times New Roman" w:eastAsia="仿宋_GB2312" w:cs="Times New Roman"/>
          <w:kern w:val="2"/>
          <w:sz w:val="32"/>
          <w:szCs w:val="24"/>
          <w:shd w:val="clear" w:fill="FFFFFF"/>
          <w:lang w:val="en-US" w:eastAsia="zh-CN" w:bidi="ar"/>
        </w:rPr>
        <w:t>2B</w:t>
      </w:r>
      <w:r>
        <w:rPr>
          <w:rFonts w:hint="eastAsia" w:ascii="Times New Roman" w:hAnsi="Times New Roman" w:eastAsia="仿宋_GB2312" w:cs="仿宋_GB2312"/>
          <w:kern w:val="2"/>
          <w:sz w:val="32"/>
          <w:szCs w:val="24"/>
          <w:shd w:val="clear" w:fill="FFFFFF"/>
          <w:lang w:val="en-US" w:eastAsia="zh-CN" w:bidi="ar"/>
        </w:rPr>
        <w:t>级的潜在致癌物，长期饮用含溴酸盐的桶装水可使人体致癌。瓶（桶）装饮用水中的溴酸盐含量的多少与水源中溴化物的含量、加工过程中灭菌工艺使用的臭氧浓度有关。溴酸盐超标的主要原因是生产企业的消毒工序控制不严或者工艺不符合要求。</w:t>
      </w:r>
    </w:p>
    <w:p>
      <w:pPr>
        <w:keepNext w:val="0"/>
        <w:keepLines w:val="0"/>
        <w:widowControl w:val="0"/>
        <w:suppressLineNumbers w:val="0"/>
        <w:spacing w:before="0" w:beforeAutospacing="0" w:after="0" w:afterAutospacing="0" w:line="588" w:lineRule="exact"/>
        <w:ind w:left="0" w:right="0" w:firstLine="640" w:firstLineChars="200"/>
        <w:jc w:val="both"/>
        <w:rPr>
          <w:rFonts w:eastAsia="黑体"/>
          <w:lang w:val="en-US"/>
        </w:rPr>
      </w:pPr>
      <w:r>
        <w:rPr>
          <w:rFonts w:hint="eastAsia" w:ascii="Times New Roman" w:hAnsi="Times New Roman" w:eastAsia="黑体" w:cs="黑体"/>
          <w:kern w:val="2"/>
          <w:sz w:val="32"/>
          <w:szCs w:val="24"/>
          <w:lang w:val="en-US" w:eastAsia="zh-CN" w:bidi="ar"/>
        </w:rPr>
        <w:t>六、</w:t>
      </w:r>
      <w:r>
        <w:rPr>
          <w:rFonts w:hint="eastAsia" w:ascii="黑体" w:hAnsi="宋体" w:eastAsia="黑体" w:cs="黑体"/>
          <w:kern w:val="2"/>
          <w:sz w:val="32"/>
          <w:szCs w:val="24"/>
          <w:lang w:val="en-US" w:eastAsia="zh-CN" w:bidi="ar"/>
        </w:rPr>
        <w:t>咖啡因</w:t>
      </w:r>
    </w:p>
    <w:p>
      <w:pPr>
        <w:keepNext w:val="0"/>
        <w:keepLines w:val="0"/>
        <w:widowControl/>
        <w:suppressLineNumbers w:val="0"/>
        <w:shd w:val="clear" w:fill="FFFFFF"/>
        <w:snapToGrid w:val="0"/>
        <w:spacing w:before="0" w:beforeAutospacing="0" w:after="0" w:afterAutospacing="0" w:line="588" w:lineRule="exact"/>
        <w:ind w:left="0" w:right="0" w:firstLine="640" w:firstLineChars="200"/>
        <w:jc w:val="both"/>
        <w:rPr>
          <w:shd w:val="clear" w:fill="FFFFFF"/>
          <w:lang w:val="en-US"/>
        </w:rPr>
      </w:pPr>
      <w:r>
        <w:rPr>
          <w:rFonts w:hint="eastAsia" w:ascii="Times New Roman" w:hAnsi="Times New Roman" w:eastAsia="仿宋_GB2312" w:cs="仿宋_GB2312"/>
          <w:kern w:val="2"/>
          <w:sz w:val="32"/>
          <w:szCs w:val="24"/>
          <w:shd w:val="clear" w:fill="FFFFFF"/>
          <w:lang w:val="en-US" w:eastAsia="zh-CN" w:bidi="ar"/>
        </w:rPr>
        <w:t>咖啡因指标是茶饮料的特征性指标，并且是茶饮料标准中的强制性条款，不同类型的茶饮料其咖啡因的含量必须达到相应水平，否则就不能称其为茶饮料。造成茶饮料中咖啡因指标不合格的原因，主要是原材料中咖啡因的含量不足，企业对原材料检测把关不严格，生产工艺参数与配料计量控制不严密以及缺乏必要的检测手段等。</w:t>
      </w:r>
    </w:p>
    <w:p>
      <w:pPr>
        <w:keepNext w:val="0"/>
        <w:keepLines w:val="0"/>
        <w:widowControl w:val="0"/>
        <w:suppressLineNumbers w:val="0"/>
        <w:spacing w:before="0" w:beforeAutospacing="0" w:after="0" w:afterAutospacing="0" w:line="588" w:lineRule="exact"/>
        <w:ind w:left="0" w:right="0" w:firstLine="640" w:firstLineChars="200"/>
        <w:jc w:val="both"/>
        <w:rPr>
          <w:rFonts w:eastAsia="黑体"/>
          <w:lang w:val="en-US"/>
        </w:rPr>
      </w:pPr>
      <w:r>
        <w:rPr>
          <w:rFonts w:hint="eastAsia" w:ascii="Times New Roman" w:hAnsi="Times New Roman" w:eastAsia="黑体" w:cs="黑体"/>
          <w:kern w:val="2"/>
          <w:sz w:val="32"/>
          <w:szCs w:val="24"/>
          <w:lang w:val="en-US" w:eastAsia="zh-CN" w:bidi="ar"/>
        </w:rPr>
        <w:t>七、</w:t>
      </w:r>
      <w:r>
        <w:rPr>
          <w:rFonts w:hint="eastAsia" w:ascii="黑体" w:hAnsi="宋体" w:eastAsia="黑体" w:cs="黑体"/>
          <w:kern w:val="2"/>
          <w:sz w:val="32"/>
          <w:szCs w:val="24"/>
          <w:lang w:val="en-US" w:eastAsia="zh-CN" w:bidi="ar"/>
        </w:rPr>
        <w:t>铝的残留量（干样品，以Al计）</w:t>
      </w:r>
    </w:p>
    <w:p>
      <w:pPr>
        <w:keepNext w:val="0"/>
        <w:keepLines w:val="0"/>
        <w:widowControl/>
        <w:suppressLineNumbers w:val="0"/>
        <w:shd w:val="clear" w:fill="FFFFFF"/>
        <w:snapToGrid w:val="0"/>
        <w:spacing w:before="0" w:beforeAutospacing="0" w:after="0" w:afterAutospacing="0" w:line="588" w:lineRule="exact"/>
        <w:ind w:left="0" w:right="0" w:firstLine="640" w:firstLineChars="200"/>
        <w:jc w:val="both"/>
        <w:rPr>
          <w:shd w:val="clear" w:fill="FFFFFF"/>
          <w:lang w:val="zh-CN" w:eastAsia="zh-CN"/>
        </w:rPr>
      </w:pPr>
      <w:r>
        <w:rPr>
          <w:rFonts w:hint="eastAsia" w:ascii="Times New Roman" w:hAnsi="Times New Roman" w:eastAsia="仿宋_GB2312" w:cs="仿宋_GB2312"/>
          <w:kern w:val="2"/>
          <w:sz w:val="32"/>
          <w:szCs w:val="24"/>
          <w:shd w:val="clear" w:fill="FFFFFF"/>
          <w:lang w:val="en-US" w:eastAsia="zh-CN" w:bidi="ar"/>
        </w:rPr>
        <w:t>含铝食品添加剂，比如硫酸铝钾（又名钾明矾）、硫酸铝铵（又名铵明矾）等，在食品中作为膨松剂、稳定剂使用，使用后会产生铝残留。豆类制品中铝的最大残留限量值（干样品，以</w:t>
      </w:r>
      <w:r>
        <w:rPr>
          <w:rFonts w:hint="default" w:ascii="Times New Roman" w:hAnsi="Times New Roman" w:eastAsia="仿宋_GB2312" w:cs="Times New Roman"/>
          <w:kern w:val="2"/>
          <w:sz w:val="32"/>
          <w:szCs w:val="24"/>
          <w:shd w:val="clear" w:fill="FFFFFF"/>
          <w:lang w:val="en-US" w:eastAsia="zh-CN" w:bidi="ar"/>
        </w:rPr>
        <w:t>Al</w:t>
      </w:r>
      <w:r>
        <w:rPr>
          <w:rFonts w:hint="eastAsia" w:ascii="Times New Roman" w:hAnsi="Times New Roman" w:eastAsia="仿宋_GB2312" w:cs="仿宋_GB2312"/>
          <w:kern w:val="2"/>
          <w:sz w:val="32"/>
          <w:szCs w:val="24"/>
          <w:shd w:val="clear" w:fill="FFFFFF"/>
          <w:lang w:val="en-US" w:eastAsia="zh-CN" w:bidi="ar"/>
        </w:rPr>
        <w:t>计）为</w:t>
      </w:r>
      <w:r>
        <w:rPr>
          <w:rFonts w:hint="default" w:ascii="Times New Roman" w:hAnsi="Times New Roman" w:eastAsia="仿宋_GB2312" w:cs="Times New Roman"/>
          <w:kern w:val="2"/>
          <w:sz w:val="32"/>
          <w:szCs w:val="24"/>
          <w:shd w:val="clear" w:fill="FFFFFF"/>
          <w:lang w:val="en-US" w:eastAsia="zh-CN" w:bidi="ar"/>
        </w:rPr>
        <w:t>100mg/kg</w:t>
      </w:r>
      <w:r>
        <w:rPr>
          <w:rFonts w:hint="eastAsia" w:ascii="Times New Roman" w:hAnsi="Times New Roman" w:eastAsia="仿宋_GB2312" w:cs="仿宋_GB2312"/>
          <w:kern w:val="2"/>
          <w:sz w:val="32"/>
          <w:szCs w:val="24"/>
          <w:shd w:val="clear" w:fill="FFFFFF"/>
          <w:lang w:val="en-US" w:eastAsia="zh-CN" w:bidi="ar"/>
        </w:rPr>
        <w:t>。含铝食品添加剂按标准使用不会对健康造成危害，但长期食用铝超标的食品会导致运动和学习记忆能力下降，影响儿童智力发育。</w:t>
      </w:r>
    </w:p>
    <w:p/>
    <w:sectPr>
      <w:pgSz w:w="12240" w:h="15840"/>
      <w:pgMar w:top="1440" w:right="1800" w:bottom="1440" w:left="1800" w:header="720" w:footer="720" w:gutter="0"/>
      <w:paperSrc/>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黑体">
    <w:panose1 w:val="02010609060101010101"/>
    <w:charset w:val="86"/>
    <w:family w:val="auto"/>
    <w:pitch w:val="fixed"/>
    <w:sig w:usb0="800002BF" w:usb1="38CF7CFA" w:usb2="00000016" w:usb3="00000000" w:csb0="00040001" w:csb1="00000000"/>
  </w:font>
  <w:font w:name="Cambria Math">
    <w:panose1 w:val="02040503050406030204"/>
    <w:charset w:val="01"/>
    <w:family w:val="auto"/>
    <w:pitch w:val="variable"/>
    <w:sig w:usb0="E00002FF" w:usb1="420024FF" w:usb2="00000000" w:usb3="00000000" w:csb0="2000019F" w:csb1="00000000"/>
  </w:font>
  <w:font w:name="仿宋_GB2312">
    <w:panose1 w:val="02010609030101010101"/>
    <w:charset w:val="86"/>
    <w:family w:val="auto"/>
    <w:pitch w:val="fixed"/>
    <w:sig w:usb0="00000001" w:usb1="080E0000" w:usb2="00000000" w:usb3="00000000" w:csb0="00040000" w:csb1="00000000"/>
  </w:font>
  <w:font w:name="@方正小标宋简体">
    <w:panose1 w:val="02010601030101010101"/>
    <w:charset w:val="86"/>
    <w:family w:val="auto"/>
    <w:pitch w:val="variable"/>
    <w:sig w:usb0="00000001" w:usb1="080E0000" w:usb2="00000000" w:usb3="00000000" w:csb0="00040000" w:csb1="00000000"/>
  </w:font>
  <w:font w:name="方正小标宋简体">
    <w:panose1 w:val="02010601030101010101"/>
    <w:charset w:val="86"/>
    <w:family w:val="auto"/>
    <w:pitch w:val="variable"/>
    <w:sig w:usb0="00000001" w:usb1="080E0000" w:usb2="00000000" w:usb3="00000000" w:csb0="00040000" w:csb1="00000000"/>
  </w:font>
  <w:font w:name="仿宋">
    <w:panose1 w:val="02010609060101010101"/>
    <w:charset w:val="86"/>
    <w:family w:val="auto"/>
    <w:pitch w:val="fixed"/>
    <w:sig w:usb0="800002BF" w:usb1="38CF7CFA" w:usb2="00000016" w:usb3="00000000" w:csb0="00040001" w:csb1="00000000"/>
  </w:font>
  <w:font w:name="@仿宋">
    <w:panose1 w:val="02010609060101010101"/>
    <w:charset w:val="86"/>
    <w:family w:val="auto"/>
    <w:pitch w:val="fixed"/>
    <w:sig w:usb0="800002BF" w:usb1="38CF7CFA" w:usb2="00000016" w:usb3="00000000" w:csb0="00040001" w:csb1="00000000"/>
  </w:font>
  <w:font w:name="@仿宋_GB2312">
    <w:panose1 w:val="02010609030101010101"/>
    <w:charset w:val="86"/>
    <w:family w:val="auto"/>
    <w:pitch w:val="fixed"/>
    <w:sig w:usb0="00000001" w:usb1="080E0000" w:usb2="00000000" w:usb3="00000000" w:csb0="00040000" w:csb1="00000000"/>
  </w:font>
  <w:font w:name="@宋体">
    <w:panose1 w:val="02010600030101010101"/>
    <w:charset w:val="86"/>
    <w:family w:val="auto"/>
    <w:pitch w:val="variable"/>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hOTU2MjRjYjk4NWZmZDA2MWQyNTczZjZmNzg1MTMifQ=="/>
  </w:docVars>
  <w:rsids>
    <w:rsidRoot w:val="77BC1896"/>
    <w:rsid w:val="77BC189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2022-10-20T01:40:00Z</dcterms:created>
  <dc:creator>罗钰珊</dc:creator>
  <cp:lastModifiedBy>罗钰珊</cp:lastModifiedBy>
  <dcterms:modified xsi:type="dcterms:W3CDTF">2022-10-20T01:41:32Z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C0AC374626DA4E3EAAC01DD33D44FCC5</vt:lpwstr>
  </property>
</Properties>
</file>