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adjustRightInd w:val="0"/>
        <w:snapToGrid w:val="0"/>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田处</w:t>
      </w:r>
      <w:r>
        <w:rPr>
          <w:rFonts w:hint="eastAsia" w:ascii="仿宋_GB2312" w:hAnsi="仿宋_GB2312" w:eastAsia="仿宋_GB2312" w:cs="仿宋_GB2312"/>
          <w:spacing w:val="17"/>
          <w:sz w:val="32"/>
          <w:szCs w:val="32"/>
          <w:lang w:val="en-US" w:eastAsia="zh-CN"/>
        </w:rPr>
        <w:t>罚</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34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当事人：淮南市润发家乐城商贸有限公司                       </w:t>
      </w:r>
    </w:p>
    <w:p>
      <w:pPr>
        <w:keepNext w:val="0"/>
        <w:keepLines w:val="0"/>
        <w:pageBreakBefore w:val="0"/>
        <w:kinsoku/>
        <w:wordWrap/>
        <w:overflowPunct/>
        <w:topLinePunct w:val="0"/>
        <w:autoSpaceDE/>
        <w:autoSpaceDN/>
        <w:bidi w:val="0"/>
        <w:adjustRightInd w:val="0"/>
        <w:snapToGrid w:val="0"/>
        <w:spacing w:line="3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34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统一社会信用代码（注册号）：91340400MA2TYG006X       </w:t>
      </w:r>
    </w:p>
    <w:p>
      <w:pPr>
        <w:keepNext w:val="0"/>
        <w:keepLines w:val="0"/>
        <w:pageBreakBefore w:val="0"/>
        <w:kinsoku/>
        <w:wordWrap/>
        <w:overflowPunct/>
        <w:topLinePunct w:val="0"/>
        <w:autoSpaceDE/>
        <w:autoSpaceDN/>
        <w:bidi w:val="0"/>
        <w:adjustRightInd w:val="0"/>
        <w:snapToGrid w:val="0"/>
        <w:spacing w:line="340" w:lineRule="atLeast"/>
        <w:jc w:val="left"/>
        <w:textAlignment w:val="auto"/>
        <w:rPr>
          <w:rFonts w:hint="default" w:ascii="仿宋_GB2312" w:hAnsi="仿宋_GB2312" w:eastAsia="仿宋_GB2312" w:cs="仿宋_GB2312"/>
          <w:w w:val="80"/>
          <w:sz w:val="32"/>
          <w:szCs w:val="32"/>
          <w:u w:val="single"/>
          <w:lang w:val="en-US" w:eastAsia="zh-CN"/>
        </w:rPr>
      </w:pPr>
      <w:r>
        <w:rPr>
          <w:rFonts w:hint="eastAsia" w:ascii="仿宋_GB2312" w:hAnsi="仿宋_GB2312" w:eastAsia="仿宋_GB2312" w:cs="仿宋_GB2312"/>
          <w:sz w:val="32"/>
          <w:szCs w:val="32"/>
          <w:u w:val="single"/>
        </w:rPr>
        <w:t>住所（住址）：安徽省淮南市田家庵区朝阳路与广场路交叉口中环国际广场首府底层商业裙楼负一层及一层</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法定代表人（负责人、经营者）：李建益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3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3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其他联系方式：</w:t>
      </w:r>
      <w:r>
        <w:rPr>
          <w:rFonts w:hint="eastAsia" w:ascii="仿宋_GB2312" w:hAnsi="仿宋_GB2312" w:eastAsia="仿宋_GB2312" w:cs="仿宋_GB2312"/>
          <w:sz w:val="32"/>
          <w:szCs w:val="32"/>
          <w:u w:val="single"/>
          <w:lang w:val="en-US"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atLeas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05月26日淮南市田家庵区市场监督管理局委托安徽省公众检验研究院有限公司对淮南市润发家乐城商贸有限公司销售的“芹菜”进行监督抽验，经检验，检验结论为“不合格”。我局执法人员于2022年06月24日从“国家食品安全抽样检验信息系统网站”下载并打印检验结论为“不合格”的《检验报告》（№:FC2022056998）和《国家食品安全抽样检验结果通知书》（NCP22340403342242860），并于2022年06月29日向当事人现场送达了该《检验报告》、《国家食品安全抽样检验结果通知书》。</w:t>
      </w:r>
      <w:r>
        <w:rPr>
          <w:rFonts w:hint="eastAsia" w:ascii="仿宋_GB2312" w:hAnsi="仿宋_GB2312" w:eastAsia="仿宋_GB2312" w:cs="仿宋_GB2312"/>
          <w:sz w:val="32"/>
          <w:szCs w:val="32"/>
        </w:rPr>
        <w:t>当事人在法定期限内未提出复检申请。我局</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日立</w:t>
      </w:r>
      <w:r>
        <w:rPr>
          <w:rFonts w:hint="eastAsia" w:ascii="仿宋_GB2312" w:hAnsi="仿宋_GB2312" w:eastAsia="仿宋_GB2312" w:cs="仿宋_GB2312"/>
          <w:sz w:val="32"/>
          <w:szCs w:val="32"/>
        </w:rPr>
        <w:t>案调查，并指派执法人员</w:t>
      </w:r>
      <w:r>
        <w:rPr>
          <w:rFonts w:hint="eastAsia" w:ascii="仿宋_GB2312" w:hAnsi="仿宋_GB2312" w:eastAsia="仿宋_GB2312" w:cs="仿宋_GB2312"/>
          <w:sz w:val="32"/>
          <w:szCs w:val="32"/>
          <w:lang w:val="en-US" w:eastAsia="zh-CN"/>
        </w:rPr>
        <w:t>从光玉</w:t>
      </w:r>
      <w:r>
        <w:rPr>
          <w:rFonts w:hint="eastAsia" w:ascii="仿宋_GB2312" w:hAnsi="仿宋_GB2312" w:eastAsia="仿宋_GB2312" w:cs="仿宋_GB2312"/>
          <w:sz w:val="32"/>
          <w:szCs w:val="32"/>
        </w:rPr>
        <w:t>(执法证号∶D801600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widowControl/>
        <w:kinsoku/>
        <w:wordWrap/>
        <w:overflowPunct/>
        <w:topLinePunct w:val="0"/>
        <w:autoSpaceDE/>
        <w:autoSpaceDN/>
        <w:bidi w:val="0"/>
        <w:adjustRightInd w:val="0"/>
        <w:snapToGrid w:val="0"/>
        <w:spacing w:line="3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经查明，当事人销售的食品名称：“</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”（购进日期：</w:t>
      </w:r>
      <w:r>
        <w:rPr>
          <w:rFonts w:hint="eastAsia" w:ascii="仿宋_GB2312" w:hAnsi="仿宋_GB2312" w:eastAsia="仿宋_GB2312" w:cs="仿宋_GB2312"/>
          <w:sz w:val="32"/>
          <w:szCs w:val="32"/>
          <w:lang w:val="en-US" w:eastAsia="zh-CN"/>
        </w:rPr>
        <w:t>2022年05月26日</w:t>
      </w:r>
      <w:r>
        <w:rPr>
          <w:rFonts w:hint="eastAsia" w:ascii="仿宋_GB2312" w:hAnsi="仿宋_GB2312" w:eastAsia="仿宋_GB2312" w:cs="仿宋_GB2312"/>
          <w:sz w:val="32"/>
          <w:szCs w:val="32"/>
        </w:rPr>
        <w:t>），经抽样检验，</w:t>
      </w:r>
      <w:r>
        <w:rPr>
          <w:rFonts w:hint="eastAsia" w:ascii="仿宋_GB2312" w:hAnsi="仿宋_GB2312" w:eastAsia="仿宋_GB2312" w:cs="仿宋_GB2312"/>
          <w:sz w:val="32"/>
          <w:szCs w:val="32"/>
          <w:lang w:val="en-US" w:eastAsia="zh-CN"/>
        </w:rPr>
        <w:t>毒死蜱</w:t>
      </w:r>
      <w:r>
        <w:rPr>
          <w:rFonts w:hint="eastAsia" w:ascii="仿宋_GB2312" w:hAnsi="仿宋_GB2312" w:eastAsia="仿宋_GB2312" w:cs="仿宋_GB2312"/>
          <w:sz w:val="32"/>
          <w:szCs w:val="32"/>
        </w:rPr>
        <w:t>项目不符合GB 2763-20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《食品安全国家标准 食品中农药最大残留限量》要求，检验结论为不合格。根据当事人的询问笔录，当事人共购进上述批次“</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10kg</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售完无剩余</w:t>
      </w:r>
      <w:r>
        <w:rPr>
          <w:rFonts w:hint="eastAsia" w:ascii="仿宋_GB2312" w:hAnsi="仿宋_GB2312" w:eastAsia="仿宋_GB2312" w:cs="仿宋_GB2312"/>
          <w:sz w:val="32"/>
          <w:szCs w:val="32"/>
        </w:rPr>
        <w:t>。当事人销售的不符合食品安全标准食品“</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，售价</w:t>
      </w:r>
      <w:r>
        <w:rPr>
          <w:rFonts w:hint="eastAsia" w:ascii="仿宋_GB2312" w:hAnsi="仿宋_GB2312" w:eastAsia="仿宋_GB2312" w:cs="仿宋_GB2312"/>
          <w:sz w:val="32"/>
          <w:szCs w:val="32"/>
          <w:lang w:val="en-US" w:eastAsia="zh-CN"/>
        </w:rPr>
        <w:t>3.96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，货值金额</w:t>
      </w:r>
      <w:r>
        <w:rPr>
          <w:rFonts w:hint="eastAsia" w:ascii="仿宋_GB2312" w:hAnsi="仿宋_GB2312" w:eastAsia="仿宋_GB2312" w:cs="仿宋_GB2312"/>
          <w:sz w:val="32"/>
          <w:szCs w:val="32"/>
          <w:highlight w:val="none"/>
          <w:lang w:val="en-US" w:eastAsia="zh-CN"/>
        </w:rPr>
        <w:t>39.6</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，违法所得</w:t>
      </w:r>
      <w:r>
        <w:rPr>
          <w:rFonts w:hint="eastAsia" w:ascii="仿宋_GB2312" w:hAnsi="仿宋_GB2312" w:eastAsia="仿宋_GB2312" w:cs="仿宋_GB2312"/>
          <w:sz w:val="32"/>
          <w:szCs w:val="32"/>
          <w:highlight w:val="none"/>
          <w:lang w:val="en-US" w:eastAsia="zh-CN"/>
        </w:rPr>
        <w:t>13.6</w:t>
      </w:r>
      <w:r>
        <w:rPr>
          <w:rFonts w:hint="eastAsia" w:ascii="仿宋_GB2312" w:hAnsi="仿宋_GB2312" w:eastAsia="仿宋_GB2312" w:cs="仿宋_GB2312"/>
          <w:sz w:val="32"/>
          <w:szCs w:val="32"/>
        </w:rPr>
        <w:t>元。当事人对上述批次“</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”已采取公告召回</w:t>
      </w:r>
      <w:r>
        <w:rPr>
          <w:rFonts w:hint="eastAsia" w:ascii="仿宋_GB2312" w:hAnsi="仿宋_GB2312" w:eastAsia="仿宋_GB2312" w:cs="仿宋_GB2312"/>
          <w:sz w:val="32"/>
          <w:szCs w:val="32"/>
          <w:lang w:val="en-US" w:eastAsia="zh-CN"/>
        </w:rPr>
        <w:t>,公告期间无消费者退回上述不合格批次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3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1.《国家食品安全抽样检验抽样单（非网络）》（</w:t>
      </w:r>
      <w:r>
        <w:rPr>
          <w:rFonts w:hint="eastAsia" w:ascii="仿宋_GB2312" w:hAnsi="仿宋_GB2312" w:eastAsia="仿宋_GB2312" w:cs="仿宋_GB2312"/>
          <w:sz w:val="32"/>
          <w:szCs w:val="32"/>
          <w:lang w:val="en-US" w:eastAsia="zh-CN"/>
        </w:rPr>
        <w:t>NCP22340403342242860</w:t>
      </w:r>
      <w:r>
        <w:rPr>
          <w:rFonts w:hint="eastAsia" w:ascii="仿宋_GB2312" w:hAnsi="仿宋_GB2312" w:eastAsia="仿宋_GB2312" w:cs="仿宋_GB2312"/>
          <w:sz w:val="32"/>
          <w:szCs w:val="32"/>
        </w:rPr>
        <w:t>）一份，证明</w:t>
      </w:r>
      <w:r>
        <w:rPr>
          <w:rFonts w:hint="eastAsia" w:ascii="仿宋_GB2312" w:hAnsi="仿宋_GB2312" w:eastAsia="仿宋_GB2312" w:cs="仿宋_GB2312"/>
          <w:sz w:val="32"/>
          <w:szCs w:val="32"/>
          <w:lang w:val="en-US" w:eastAsia="zh-CN"/>
        </w:rPr>
        <w:t>淮南市田家庵区市场监督管理局委托安徽省公众检验研究院有限公司对</w:t>
      </w:r>
      <w:r>
        <w:rPr>
          <w:rFonts w:hint="eastAsia" w:ascii="仿宋_GB2312" w:hAnsi="仿宋_GB2312" w:eastAsia="仿宋_GB2312" w:cs="仿宋_GB2312"/>
          <w:sz w:val="32"/>
          <w:szCs w:val="32"/>
        </w:rPr>
        <w:t>当事人销售的“</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”（购进日期：</w:t>
      </w:r>
      <w:r>
        <w:rPr>
          <w:rFonts w:hint="eastAsia" w:ascii="仿宋_GB2312" w:hAnsi="仿宋_GB2312" w:eastAsia="仿宋_GB2312" w:cs="仿宋_GB2312"/>
          <w:sz w:val="32"/>
          <w:szCs w:val="32"/>
          <w:lang w:val="en-US" w:eastAsia="zh-CN"/>
        </w:rPr>
        <w:t>2022年05月26日</w:t>
      </w:r>
      <w:r>
        <w:rPr>
          <w:rFonts w:hint="eastAsia" w:ascii="仿宋_GB2312" w:hAnsi="仿宋_GB2312" w:eastAsia="仿宋_GB2312" w:cs="仿宋_GB2312"/>
          <w:sz w:val="32"/>
          <w:szCs w:val="32"/>
        </w:rPr>
        <w:t>）进行抽检的事实；</w:t>
      </w:r>
    </w:p>
    <w:p>
      <w:pPr>
        <w:keepNext w:val="0"/>
        <w:keepLines w:val="0"/>
        <w:pageBreakBefore w:val="0"/>
        <w:widowControl/>
        <w:kinsoku/>
        <w:wordWrap/>
        <w:overflowPunct/>
        <w:topLinePunct w:val="0"/>
        <w:autoSpaceDE/>
        <w:autoSpaceDN/>
        <w:bidi w:val="0"/>
        <w:adjustRightInd w:val="0"/>
        <w:snapToGrid w:val="0"/>
        <w:spacing w:line="3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№:FC2022056998</w:t>
      </w:r>
      <w:r>
        <w:rPr>
          <w:rFonts w:hint="eastAsia" w:ascii="仿宋_GB2312" w:hAnsi="仿宋_GB2312" w:eastAsia="仿宋_GB2312" w:cs="仿宋_GB2312"/>
          <w:sz w:val="32"/>
          <w:szCs w:val="32"/>
        </w:rPr>
        <w:t>）一份，证明当事人销售的“</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”检验结论不合格的事实；</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3.《询问笔录》一份，证明当事人销售不合格批次食品的货值金额</w:t>
      </w:r>
      <w:r>
        <w:rPr>
          <w:rFonts w:hint="eastAsia" w:ascii="仿宋_GB2312" w:hAnsi="仿宋_GB2312" w:eastAsia="仿宋_GB2312" w:cs="仿宋_GB2312"/>
          <w:sz w:val="32"/>
          <w:szCs w:val="32"/>
          <w:highlight w:val="none"/>
          <w:lang w:val="en-US" w:eastAsia="zh-CN"/>
        </w:rPr>
        <w:t>39.6</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，违法所得</w:t>
      </w:r>
      <w:r>
        <w:rPr>
          <w:rFonts w:hint="eastAsia" w:ascii="仿宋_GB2312" w:hAnsi="仿宋_GB2312" w:eastAsia="仿宋_GB2312" w:cs="仿宋_GB2312"/>
          <w:sz w:val="32"/>
          <w:szCs w:val="32"/>
          <w:highlight w:val="none"/>
          <w:lang w:val="en-US" w:eastAsia="zh-CN"/>
        </w:rPr>
        <w:t>13.6</w:t>
      </w:r>
      <w:r>
        <w:rPr>
          <w:rFonts w:hint="eastAsia" w:ascii="仿宋_GB2312" w:hAnsi="仿宋_GB2312" w:eastAsia="仿宋_GB2312" w:cs="仿宋_GB2312"/>
          <w:sz w:val="32"/>
          <w:szCs w:val="32"/>
        </w:rPr>
        <w:t>元的事实；</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食品经营许可证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身份证复印件各一份，证明当事人的主体资格；</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.当事人提交的不合格食品召回公告、召回情况及整改报告各一份，证明已对不合格食品采取公告召回</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.当事人出具的授权委托书原件、受委托人的身份证复印件各一份，证明受委托人的身份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09</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08</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rPr>
        <w:t>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告字〔202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号行政处罚告知书，当事人在法定期限内未进行陈述、申辩，也未提出听证的要求。</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val="0"/>
          <w:bCs/>
          <w:sz w:val="32"/>
          <w:szCs w:val="32"/>
        </w:rPr>
        <w:t>当事人未按规定建立食用农产品进货查验记录制度的行为，违反了《中华人民共和国食品安全法》第六十五条：“食用农产品销售者应当建立食用农产品进货查验记录制度，如实记录食用农产品名称、数量、进货日期以及供货者名称、地址、联系方式等内容，并保存相关凭证。记录和凭证保存期限不得少于六个月。”</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规定。</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rPr>
      </w:pPr>
      <w:r>
        <w:rPr>
          <w:rFonts w:hint="eastAsia" w:hAnsi="仿宋_GB2312" w:eastAsia="仿宋_GB2312" w:cs="仿宋_GB2312"/>
          <w:b w:val="0"/>
          <w:bCs/>
          <w:sz w:val="32"/>
          <w:szCs w:val="32"/>
          <w:lang w:val="en-US" w:eastAsia="zh-CN"/>
        </w:rPr>
        <w:t>依据《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和第四款：“食用农产品销售者违反本法第六十五条规定的，由县级以上人民政府食品安全监督管理部门依照第一款规定给予处罚。”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责令当事人改正违法行为并予以</w:t>
      </w:r>
      <w:r>
        <w:rPr>
          <w:rFonts w:hint="eastAsia" w:ascii="仿宋_GB2312" w:hAnsi="仿宋_GB2312" w:eastAsia="仿宋_GB2312" w:cs="仿宋_GB2312"/>
          <w:sz w:val="32"/>
          <w:szCs w:val="32"/>
          <w:lang w:val="en-US" w:eastAsia="zh-CN"/>
        </w:rPr>
        <w:t>处罚如下：警告。</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当事人销售的不符合食品安全标准“</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的行为，违反了《中华人民共和国食品安全法》第三十四条“禁止生产经营下列食品、食品添加剂、食品相关产品：”第（二）项“致病性微生物，农药残留、兽药残留、生物毒素、重金属等污染物质以及其他危害人体健康的物质含量超过食品安全标准限量的食品、食品添加剂、食品相关产品;”之规定，属于销售不符合食品安全标准食品的违法行为。</w:t>
      </w:r>
    </w:p>
    <w:p>
      <w:pPr>
        <w:keepNext w:val="0"/>
        <w:keepLines w:val="0"/>
        <w:pageBreakBefore w:val="0"/>
        <w:kinsoku/>
        <w:wordWrap/>
        <w:overflowPunct/>
        <w:topLinePunct w:val="0"/>
        <w:autoSpaceDE/>
        <w:autoSpaceDN/>
        <w:bidi w:val="0"/>
        <w:adjustRightInd w:val="0"/>
        <w:snapToGrid w:val="0"/>
        <w:spacing w:line="3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鉴于当事人在本案调查过程中能够积极配合执法人员查处违法行为,对不合格食品</w:t>
      </w:r>
      <w:r>
        <w:rPr>
          <w:rFonts w:hint="eastAsia" w:ascii="仿宋_GB2312" w:hAnsi="仿宋_GB2312" w:eastAsia="仿宋_GB2312" w:cs="仿宋_GB2312"/>
          <w:sz w:val="32"/>
          <w:szCs w:val="32"/>
          <w:lang w:val="en-US" w:eastAsia="zh-CN"/>
        </w:rPr>
        <w:t>启动了</w:t>
      </w:r>
      <w:r>
        <w:rPr>
          <w:rFonts w:hint="eastAsia" w:ascii="仿宋_GB2312" w:hAnsi="仿宋_GB2312" w:eastAsia="仿宋_GB2312" w:cs="仿宋_GB2312"/>
          <w:sz w:val="32"/>
          <w:szCs w:val="32"/>
        </w:rPr>
        <w:t>召回</w:t>
      </w:r>
      <w:r>
        <w:rPr>
          <w:rFonts w:hint="eastAsia" w:ascii="仿宋_GB2312" w:hAnsi="仿宋_GB2312" w:eastAsia="仿宋_GB2312" w:cs="仿宋_GB2312"/>
          <w:sz w:val="32"/>
          <w:szCs w:val="32"/>
          <w:lang w:val="en-US" w:eastAsia="zh-CN"/>
        </w:rPr>
        <w:t>程序</w:t>
      </w:r>
      <w:r>
        <w:rPr>
          <w:rFonts w:hint="eastAsia" w:ascii="仿宋_GB2312" w:hAnsi="仿宋_GB2312" w:eastAsia="仿宋_GB2312" w:cs="仿宋_GB2312"/>
          <w:sz w:val="32"/>
          <w:szCs w:val="32"/>
        </w:rPr>
        <w:t>，减轻了违法行为</w:t>
      </w:r>
      <w:r>
        <w:rPr>
          <w:rFonts w:hint="eastAsia" w:ascii="仿宋_GB2312" w:hAnsi="仿宋_GB2312" w:eastAsia="仿宋_GB2312" w:cs="仿宋_GB2312"/>
          <w:sz w:val="32"/>
          <w:szCs w:val="32"/>
          <w:lang w:val="en-US" w:eastAsia="zh-CN"/>
        </w:rPr>
        <w:t>影响</w:t>
      </w:r>
      <w:r>
        <w:rPr>
          <w:rFonts w:hint="eastAsia" w:ascii="仿宋_GB2312" w:hAnsi="仿宋_GB2312" w:eastAsia="仿宋_GB2312" w:cs="仿宋_GB2312"/>
          <w:sz w:val="32"/>
          <w:szCs w:val="32"/>
        </w:rPr>
        <w:t>。依据《中华人民共和国食品安全法》第一百二十四条第一款第（一）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决定责令当事人改正违法行为并予以减轻处罚如下：1.没收违法所得</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rPr>
        <w:t>元；2.罚款人民币10000元。</w:t>
      </w:r>
    </w:p>
    <w:p>
      <w:pPr>
        <w:keepNext w:val="0"/>
        <w:keepLines w:val="0"/>
        <w:pageBreakBefore w:val="0"/>
        <w:kinsoku/>
        <w:wordWrap/>
        <w:overflowPunct/>
        <w:topLinePunct w:val="0"/>
        <w:autoSpaceDE/>
        <w:autoSpaceDN/>
        <w:bidi w:val="0"/>
        <w:adjustRightInd w:val="0"/>
        <w:snapToGrid w:val="0"/>
        <w:spacing w:line="340" w:lineRule="atLeast"/>
        <w:ind w:firstLine="640" w:firstLineChars="200"/>
        <w:jc w:val="left"/>
        <w:textAlignment w:val="auto"/>
        <w:rPr>
          <w:rFonts w:hint="eastAsia" w:ascii="仿宋_GB2312" w:hAnsi="仿宋_GB2312" w:eastAsia="仿宋_GB2312" w:cs="仿宋_GB2312"/>
          <w:sz w:val="32"/>
          <w:szCs w:val="32"/>
        </w:rPr>
      </w:pPr>
      <w:r>
        <w:rPr>
          <w:rFonts w:hint="eastAsia" w:hAnsi="仿宋_GB2312" w:eastAsia="仿宋_GB2312" w:cs="仿宋_GB2312"/>
          <w:b w:val="0"/>
          <w:bCs/>
          <w:sz w:val="32"/>
          <w:szCs w:val="32"/>
          <w:lang w:val="en-US" w:eastAsia="zh-CN"/>
        </w:rPr>
        <w:t>综上所述，</w:t>
      </w:r>
      <w:r>
        <w:rPr>
          <w:rFonts w:hint="eastAsia" w:ascii="仿宋_GB2312" w:hAnsi="仿宋_GB2312" w:eastAsia="仿宋_GB2312" w:cs="仿宋_GB2312"/>
          <w:sz w:val="32"/>
          <w:szCs w:val="32"/>
        </w:rPr>
        <w:t>依据《中华人民共和国食品安全法》第一百二十四条第一款第（一）项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第一百二十六条第一款和第四款</w:t>
      </w:r>
      <w:r>
        <w:rPr>
          <w:rFonts w:hint="eastAsia" w:ascii="仿宋_GB2312" w:hAnsi="仿宋_GB2312" w:eastAsia="仿宋_GB2312" w:cs="仿宋_GB2312"/>
          <w:sz w:val="32"/>
          <w:szCs w:val="32"/>
        </w:rPr>
        <w:t>、《中华人民共和国行政处罚法》第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责令当事人改正违法行为并减轻处罚如下：</w:t>
      </w:r>
    </w:p>
    <w:p>
      <w:pPr>
        <w:keepNext w:val="0"/>
        <w:keepLines w:val="0"/>
        <w:pageBreakBefore w:val="0"/>
        <w:kinsoku/>
        <w:wordWrap/>
        <w:overflowPunct/>
        <w:topLinePunct w:val="0"/>
        <w:autoSpaceDE/>
        <w:autoSpaceDN/>
        <w:bidi w:val="0"/>
        <w:adjustRightInd w:val="0"/>
        <w:snapToGrid w:val="0"/>
        <w:spacing w:line="340" w:lineRule="atLeas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1、警告；</w:t>
      </w:r>
    </w:p>
    <w:p>
      <w:pPr>
        <w:keepNext w:val="0"/>
        <w:keepLines w:val="0"/>
        <w:pageBreakBefore w:val="0"/>
        <w:kinsoku/>
        <w:wordWrap/>
        <w:overflowPunct/>
        <w:topLinePunct w:val="0"/>
        <w:autoSpaceDE/>
        <w:autoSpaceDN/>
        <w:bidi w:val="0"/>
        <w:adjustRightInd w:val="0"/>
        <w:snapToGrid w:val="0"/>
        <w:spacing w:line="3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没收违法所得</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val="0"/>
        <w:snapToGrid w:val="0"/>
        <w:spacing w:line="3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罚款人民币10000元。</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w:t>
      </w:r>
    </w:p>
    <w:p>
      <w:pPr>
        <w:keepNext w:val="0"/>
        <w:keepLines w:val="0"/>
        <w:pageBreakBefore w:val="0"/>
        <w:kinsoku/>
        <w:wordWrap/>
        <w:overflowPunct/>
        <w:topLinePunct w:val="0"/>
        <w:autoSpaceDE/>
        <w:autoSpaceDN/>
        <w:bidi w:val="0"/>
        <w:adjustRightInd w:val="0"/>
        <w:snapToGrid w:val="0"/>
        <w:spacing w:line="34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autoSpaceDE/>
        <w:autoSpaceDN/>
        <w:bidi w:val="0"/>
        <w:adjustRightInd w:val="0"/>
        <w:snapToGrid w:val="0"/>
        <w:spacing w:line="340" w:lineRule="atLeast"/>
        <w:ind w:firstLine="640" w:firstLineChars="200"/>
        <w:textAlignment w:val="auto"/>
        <w:rPr>
          <w:rFonts w:ascii="黑体" w:hAnsi="黑体" w:eastAsia="黑体"/>
          <w:color w:val="231F20"/>
          <w:spacing w:val="-16"/>
        </w:rPr>
      </w:pP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dB454/QEAAPMDAAAOAAAAZHJzL2Uyb0RvYy54bWytU82O&#10;0zAQviPxDpbvNG1W24Wo6R62LBcElYAHmDpOYsl/eNymfQleAIkbnDhy521YHoOxU8qyXHogB2fs&#10;GX8z3zfjxfXeaLaTAZWzNZ9NppxJK1yjbFfzd29vnzzlDCPYBrSzsuYHifx6+fjRYvCVLF3vdCMD&#10;IxCL1eBr3sfoq6JA0UsDOHFeWnK2LhiItA1d0QQYCN3oopxO58XgQuODExKRTlejkx8RwzmArm2V&#10;kCsntkbaOKIGqSESJeyVR77M1batFPF126KMTNecmMa8UhKyN2ktlguougC+V+JYApxTwgNOBpSl&#10;pCeoFURg26D+gTJKBIeujRPhTDESyYoQi9n0gTZvevAycyGp0Z9Ex/8HK17t1oGppuYXnFkw1PC7&#10;j99+fPj88/snWu++fmGzJNLgsaLYG7sOxx36dUiM920w6U9c2D4LezgJK/eRCTq8vJqX8/KSM0G+&#10;WXmVdS/+3PUB4wvpDEtGzbWyiTZUsHuJkfJR6O+QdKwtG2r+7GJOXRRAM4jvyTCeWKDt8k10WjW3&#10;SusUj6Hb3OjAdpCmIH+JE6H+FZZSrAD7MS67xvnoJTTPbcPiwZM+lp4FTwUY2XCmJb2iZBEgVBGU&#10;PieSUmubLsg8o0eWSeRR1mRtXHOg3mx9UF1PquQ+FMlDs5CrP85tGrb7e7Lvv9X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BdB454/QEAAPMDAAAOAAAAAAAAAAEAIAAAACYBAABkcnMvZTJv&#10;RG9jLnhtbFBLBQYAAAAABgAGAFkBAACVBQAAAAA=&#10;">
                <v:fill on="f" focussize="0,0"/>
                <v:stroke weight="0.737007874015748pt" color="#000000" joinstyle="round" endcap="square"/>
                <v:imagedata o:title=""/>
                <o:lock v:ext="edit" aspectratio="f"/>
              </v:line>
            </w:pict>
          </mc:Fallback>
        </mc:AlternateContent>
      </w:r>
    </w:p>
    <w:p>
      <w:pPr>
        <w:keepNext w:val="0"/>
        <w:keepLines w:val="0"/>
        <w:pageBreakBefore w:val="0"/>
        <w:kinsoku/>
        <w:wordWrap/>
        <w:overflowPunct/>
        <w:topLinePunct w:val="0"/>
        <w:bidi w:val="0"/>
        <w:adjustRightInd w:val="0"/>
        <w:snapToGrid w:val="0"/>
        <w:spacing w:line="340" w:lineRule="atLeas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highlight w:val="lightGray"/>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highlight w:val="lightGray"/>
        </w:rPr>
      </w:pPr>
    </w:p>
    <w:p>
      <w:pPr>
        <w:keepNext w:val="0"/>
        <w:keepLines w:val="0"/>
        <w:pageBreakBefore w:val="0"/>
        <w:kinsoku/>
        <w:wordWrap/>
        <w:overflowPunct/>
        <w:topLinePunct w:val="0"/>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highlight w:val="lightGray"/>
        </w:rPr>
      </w:pPr>
    </w:p>
    <w:p>
      <w:pPr>
        <w:keepNext w:val="0"/>
        <w:keepLines w:val="0"/>
        <w:pageBreakBefore w:val="0"/>
        <w:kinsoku/>
        <w:wordWrap/>
        <w:overflowPunct/>
        <w:topLinePunct w:val="0"/>
        <w:bidi w:val="0"/>
        <w:adjustRightInd w:val="0"/>
        <w:snapToGrid w:val="0"/>
        <w:spacing w:line="340" w:lineRule="atLeast"/>
        <w:ind w:firstLine="640" w:firstLineChars="200"/>
        <w:textAlignment w:val="auto"/>
        <w:rPr>
          <w:rFonts w:hint="eastAsia" w:ascii="仿宋_GB2312" w:hAnsi="仿宋_GB2312" w:eastAsia="仿宋_GB2312" w:cs="仿宋_GB2312"/>
          <w:sz w:val="32"/>
          <w:szCs w:val="32"/>
          <w:highlight w:val="lightGray"/>
        </w:rPr>
      </w:pPr>
    </w:p>
    <w:p>
      <w:pPr>
        <w:pStyle w:val="2"/>
        <w:keepNext w:val="0"/>
        <w:keepLines w:val="0"/>
        <w:pageBreakBefore w:val="0"/>
        <w:kinsoku/>
        <w:wordWrap/>
        <w:overflowPunct/>
        <w:topLinePunct w:val="0"/>
        <w:bidi w:val="0"/>
        <w:adjustRightInd/>
        <w:snapToGrid w:val="0"/>
        <w:spacing w:before="1" w:line="340" w:lineRule="atLeas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snapToGrid w:val="0"/>
        <w:spacing w:line="340" w:lineRule="atLeast"/>
        <w:textAlignment w:val="auto"/>
        <w:rPr>
          <w:rFonts w:ascii="黑体" w:hAnsi="黑体" w:eastAsia="黑体"/>
          <w:color w:val="231F20"/>
          <w:spacing w:val="-16"/>
        </w:rPr>
      </w:pPr>
      <w:r>
        <w:rPr>
          <w:rFonts w:ascii="Times New Roman" w:hAns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0288;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lang w:eastAsia="zh-CN"/>
        </w:rPr>
        <w:t>，</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15E25"/>
    <w:rsid w:val="0091065E"/>
    <w:rsid w:val="00A60B94"/>
    <w:rsid w:val="00B40D21"/>
    <w:rsid w:val="00B77725"/>
    <w:rsid w:val="01217D70"/>
    <w:rsid w:val="030D4351"/>
    <w:rsid w:val="04222A5F"/>
    <w:rsid w:val="05A232D7"/>
    <w:rsid w:val="05F92DDC"/>
    <w:rsid w:val="08D069EB"/>
    <w:rsid w:val="09EB1B63"/>
    <w:rsid w:val="0AC94872"/>
    <w:rsid w:val="0B006766"/>
    <w:rsid w:val="141B194C"/>
    <w:rsid w:val="1880379F"/>
    <w:rsid w:val="2148092D"/>
    <w:rsid w:val="21E37453"/>
    <w:rsid w:val="22457241"/>
    <w:rsid w:val="249E10C1"/>
    <w:rsid w:val="25DA0352"/>
    <w:rsid w:val="25E535EB"/>
    <w:rsid w:val="29C57696"/>
    <w:rsid w:val="2A8A4AA6"/>
    <w:rsid w:val="2B0F3F82"/>
    <w:rsid w:val="2D9A4369"/>
    <w:rsid w:val="32CF7DA6"/>
    <w:rsid w:val="331260EE"/>
    <w:rsid w:val="34643731"/>
    <w:rsid w:val="35202463"/>
    <w:rsid w:val="3AD15E25"/>
    <w:rsid w:val="3B74479D"/>
    <w:rsid w:val="40D84BFE"/>
    <w:rsid w:val="416F6B49"/>
    <w:rsid w:val="4A4C332E"/>
    <w:rsid w:val="4D6C36A8"/>
    <w:rsid w:val="4FE21E3E"/>
    <w:rsid w:val="5714026E"/>
    <w:rsid w:val="585133F2"/>
    <w:rsid w:val="5A8F4E1E"/>
    <w:rsid w:val="5AD57930"/>
    <w:rsid w:val="5BA86AF7"/>
    <w:rsid w:val="61946CA6"/>
    <w:rsid w:val="65B20DEA"/>
    <w:rsid w:val="685850F2"/>
    <w:rsid w:val="6A210391"/>
    <w:rsid w:val="6A987B26"/>
    <w:rsid w:val="6B5F3CD1"/>
    <w:rsid w:val="72330BA2"/>
    <w:rsid w:val="77575764"/>
    <w:rsid w:val="7B736201"/>
    <w:rsid w:val="7F6C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2400</Characters>
  <Lines>20</Lines>
  <Paragraphs>5</Paragraphs>
  <TotalTime>33</TotalTime>
  <ScaleCrop>false</ScaleCrop>
  <LinksUpToDate>false</LinksUpToDate>
  <CharactersWithSpaces>2815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2022-09-13T01:23:00Z</cp:lastPrinted>
  <dcterms:modified xsi:type="dcterms:W3CDTF">2022-09-19T02:52:10Z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707F44DFC84647A0B6863C331659E088</vt:lpwstr>
  </property>
</Properties>
</file>