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附件4</w:t>
      </w:r>
    </w:p>
    <w:p>
      <w:pPr>
        <w:spacing w:line="360" w:lineRule="auto"/>
        <w:jc w:val="center"/>
        <w:rPr>
          <w:rFonts w:ascii="宋体" w:hAnsi="宋体" w:cs="Arial"/>
          <w:kern w:val="0"/>
          <w:sz w:val="28"/>
          <w:szCs w:val="28"/>
        </w:rPr>
      </w:pPr>
      <w:r>
        <w:rPr>
          <w:rFonts w:hint="eastAsia" w:ascii="宋体" w:hAnsi="宋体" w:cs="宋体"/>
          <w:b/>
          <w:bCs/>
          <w:kern w:val="0"/>
          <w:sz w:val="36"/>
          <w:szCs w:val="36"/>
        </w:rPr>
        <w:t>关于</w:t>
      </w:r>
      <w:r>
        <w:rPr>
          <w:rFonts w:hint="eastAsia" w:ascii="宋体" w:hAnsi="宋体" w:cs="宋体"/>
          <w:b/>
          <w:bCs/>
          <w:kern w:val="0"/>
          <w:sz w:val="36"/>
          <w:szCs w:val="36"/>
          <w:lang w:eastAsia="zh-CN"/>
        </w:rPr>
        <w:t>不合格</w:t>
      </w:r>
      <w:r>
        <w:rPr>
          <w:rFonts w:hint="eastAsia" w:ascii="宋体" w:hAnsi="宋体" w:cs="宋体"/>
          <w:b/>
          <w:bCs/>
          <w:kern w:val="0"/>
          <w:sz w:val="36"/>
          <w:szCs w:val="36"/>
        </w:rPr>
        <w:t>检验项目的说明</w:t>
      </w:r>
    </w:p>
    <w:p>
      <w:pPr>
        <w:spacing w:line="360" w:lineRule="auto"/>
        <w:jc w:val="center"/>
        <w:rPr>
          <w:rFonts w:cs="Arial" w:asciiTheme="majorEastAsia" w:hAnsiTheme="majorEastAsia" w:eastAsiaTheme="majorEastAsia"/>
          <w:b/>
          <w:kern w:val="0"/>
          <w:sz w:val="36"/>
          <w:szCs w:val="36"/>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一、苯甲酸及其钠盐</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苯甲酸及其钠盐（以苯甲酸计）是食品工业中常用的一种防腐剂，对霉菌、酵母和细菌有较好的抑制作用。长期食用苯甲酸及其钠盐超标的食品，可能会造成肝脏积累性中毒，危害肝脏健康。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根据国家标准GB 2760-2014《食品安全国家标准 食品添加剂使用标准》，豆类制品不允许使用苯甲酸及其钠盐（以苯甲酸计）。此次抽检样品为豆腐，苯甲酸及其钠盐（以苯甲酸计）检测值为0.256g/kg，属超范围使用食品添加剂。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造成苯甲酸及其钠盐不合格的原因，可能是生产企业为了延长产品保质期或者弥补生产过程卫生条件不佳而违规添加；也可能是生产企业对相关标准理解不到位导致。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二、防腐剂混合使用时各自用量占其最大使用量的比例之和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仿宋"/>
          <w:b w:val="0"/>
          <w:bCs w:val="0"/>
          <w:color w:val="000000"/>
          <w:kern w:val="0"/>
          <w:sz w:val="32"/>
          <w:szCs w:val="32"/>
          <w:lang w:val="en-US" w:eastAsia="zh-CN" w:bidi="ar"/>
        </w:rPr>
      </w:pPr>
      <w:r>
        <w:rPr>
          <w:rFonts w:hint="eastAsia" w:ascii="Times New Roman" w:hAnsi="Times New Roman" w:eastAsia="仿宋" w:cs="仿宋"/>
          <w:b w:val="0"/>
          <w:bCs w:val="0"/>
          <w:color w:val="000000"/>
          <w:kern w:val="0"/>
          <w:sz w:val="32"/>
          <w:szCs w:val="32"/>
          <w:lang w:val="en-US" w:eastAsia="zh-CN" w:bidi="ar"/>
        </w:rPr>
        <w:t>本要求最常见于防腐剂混合使用。在</w:t>
      </w:r>
      <w:r>
        <w:rPr>
          <w:rFonts w:hint="default" w:ascii="Times New Roman" w:hAnsi="Times New Roman" w:eastAsia="仿宋" w:cs="仿宋"/>
          <w:b w:val="0"/>
          <w:bCs w:val="0"/>
          <w:color w:val="000000"/>
          <w:kern w:val="0"/>
          <w:sz w:val="32"/>
          <w:szCs w:val="32"/>
          <w:lang w:val="en-US" w:eastAsia="zh-CN" w:bidi="ar"/>
        </w:rPr>
        <w:t>GB 2760-2014</w:t>
      </w:r>
      <w:r>
        <w:rPr>
          <w:rFonts w:hint="eastAsia" w:ascii="Times New Roman" w:hAnsi="Times New Roman" w:eastAsia="仿宋" w:cs="仿宋"/>
          <w:b w:val="0"/>
          <w:bCs w:val="0"/>
          <w:color w:val="000000"/>
          <w:kern w:val="0"/>
          <w:sz w:val="32"/>
          <w:szCs w:val="32"/>
          <w:lang w:val="en-US" w:eastAsia="zh-CN" w:bidi="ar"/>
        </w:rPr>
        <w:t>《食品安全国家标准</w:t>
      </w:r>
      <w:r>
        <w:rPr>
          <w:rFonts w:hint="default" w:ascii="Times New Roman" w:hAnsi="Times New Roman" w:eastAsia="仿宋" w:cs="仿宋"/>
          <w:b w:val="0"/>
          <w:bCs w:val="0"/>
          <w:color w:val="000000"/>
          <w:kern w:val="0"/>
          <w:sz w:val="32"/>
          <w:szCs w:val="32"/>
          <w:lang w:val="en-US" w:eastAsia="zh-CN" w:bidi="ar"/>
        </w:rPr>
        <w:t xml:space="preserve"> </w:t>
      </w:r>
      <w:r>
        <w:rPr>
          <w:rFonts w:hint="eastAsia" w:ascii="Times New Roman" w:hAnsi="Times New Roman" w:eastAsia="仿宋" w:cs="仿宋"/>
          <w:b w:val="0"/>
          <w:bCs w:val="0"/>
          <w:color w:val="000000"/>
          <w:kern w:val="0"/>
          <w:sz w:val="32"/>
          <w:szCs w:val="32"/>
          <w:lang w:val="en-US" w:eastAsia="zh-CN" w:bidi="ar"/>
        </w:rPr>
        <w:t>食品添加剂使用标准》表</w:t>
      </w:r>
      <w:r>
        <w:rPr>
          <w:rFonts w:hint="default" w:ascii="Times New Roman" w:hAnsi="Times New Roman" w:eastAsia="仿宋" w:cs="仿宋"/>
          <w:b w:val="0"/>
          <w:bCs w:val="0"/>
          <w:color w:val="000000"/>
          <w:kern w:val="0"/>
          <w:sz w:val="32"/>
          <w:szCs w:val="32"/>
          <w:lang w:val="en-US" w:eastAsia="zh-CN" w:bidi="ar"/>
        </w:rPr>
        <w:t>A.1</w:t>
      </w:r>
      <w:r>
        <w:rPr>
          <w:rFonts w:hint="eastAsia" w:ascii="Times New Roman" w:hAnsi="Times New Roman" w:eastAsia="仿宋" w:cs="仿宋"/>
          <w:b w:val="0"/>
          <w:bCs w:val="0"/>
          <w:color w:val="000000"/>
          <w:kern w:val="0"/>
          <w:sz w:val="32"/>
          <w:szCs w:val="32"/>
          <w:lang w:val="en-US" w:eastAsia="zh-CN" w:bidi="ar"/>
        </w:rPr>
        <w:t>中列出的具有同一功能的食品添加剂在同一食品中混合使用时，各自的实际使用量占其最大使用量的比例之和不能超过</w:t>
      </w:r>
      <w:r>
        <w:rPr>
          <w:rFonts w:hint="default" w:ascii="Times New Roman" w:hAnsi="Times New Roman" w:eastAsia="仿宋" w:cs="仿宋"/>
          <w:b w:val="0"/>
          <w:bCs w:val="0"/>
          <w:color w:val="000000"/>
          <w:kern w:val="0"/>
          <w:sz w:val="32"/>
          <w:szCs w:val="32"/>
          <w:lang w:val="en-US" w:eastAsia="zh-CN" w:bidi="ar"/>
        </w:rPr>
        <w:t>1</w:t>
      </w:r>
      <w:r>
        <w:rPr>
          <w:rFonts w:hint="eastAsia" w:ascii="Times New Roman" w:hAnsi="Times New Roman" w:eastAsia="仿宋" w:cs="仿宋"/>
          <w:b w:val="0"/>
          <w:bCs w:val="0"/>
          <w:color w:val="000000"/>
          <w:kern w:val="0"/>
          <w:sz w:val="32"/>
          <w:szCs w:val="32"/>
          <w:lang w:val="en-US" w:eastAsia="zh-CN" w:bidi="ar"/>
        </w:rPr>
        <w:t>。造成食品中该指标不合格的主要原因有：生产经营企业超限量、超范围使用，或者未准确计量。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仿宋"/>
          <w:sz w:val="32"/>
          <w:szCs w:val="32"/>
          <w:lang w:val="en-US" w:eastAsia="zh-CN"/>
        </w:rPr>
      </w:pPr>
    </w:p>
    <w:p>
      <w:pPr>
        <w:pStyle w:val="2"/>
        <w:keepNext w:val="0"/>
        <w:keepLines w:val="0"/>
        <w:pageBreakBefore w:val="0"/>
        <w:numPr>
          <w:numId w:val="0"/>
        </w:numPr>
        <w:kinsoku/>
        <w:wordWrap/>
        <w:overflowPunct/>
        <w:topLinePunct w:val="0"/>
        <w:autoSpaceDE/>
        <w:autoSpaceDN/>
        <w:bidi w:val="0"/>
        <w:adjustRightInd/>
        <w:snapToGrid/>
        <w:spacing w:after="0" w:line="560" w:lineRule="exact"/>
        <w:ind w:leftChars="200" w:firstLine="320" w:firstLineChars="100"/>
        <w:textAlignment w:val="auto"/>
        <w:rPr>
          <w:rFonts w:hint="eastAsia" w:ascii="Times New Roman" w:hAnsi="Times New Roman" w:eastAsia="仿宋" w:cs="仿宋"/>
          <w:b w:val="0"/>
          <w:bCs w:val="0"/>
          <w:color w:val="000000"/>
          <w:kern w:val="0"/>
          <w:sz w:val="32"/>
          <w:szCs w:val="32"/>
          <w:lang w:val="en-US" w:eastAsia="zh-CN" w:bidi="ar"/>
        </w:rPr>
      </w:pPr>
      <w:r>
        <w:rPr>
          <w:rFonts w:hint="eastAsia" w:ascii="Times New Roman" w:hAnsi="Times New Roman" w:eastAsia="仿宋" w:cs="仿宋"/>
          <w:b w:val="0"/>
          <w:bCs w:val="0"/>
          <w:color w:val="000000"/>
          <w:kern w:val="0"/>
          <w:sz w:val="32"/>
          <w:szCs w:val="32"/>
          <w:lang w:val="en-US" w:eastAsia="zh-CN" w:bidi="ar"/>
        </w:rPr>
        <w:t>三、菌落总数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仿宋"/>
          <w:b/>
          <w:bCs/>
          <w:color w:val="000000"/>
          <w:kern w:val="0"/>
          <w:sz w:val="32"/>
          <w:szCs w:val="32"/>
          <w:lang w:val="en-US" w:eastAsia="zh-CN" w:bidi="ar"/>
        </w:rPr>
      </w:pPr>
      <w:r>
        <w:rPr>
          <w:rFonts w:hint="eastAsia" w:ascii="Times New Roman" w:hAnsi="Times New Roman" w:eastAsia="仿宋" w:cs="仿宋"/>
          <w:b w:val="0"/>
          <w:bCs w:val="0"/>
          <w:color w:val="000000"/>
          <w:kern w:val="0"/>
          <w:sz w:val="32"/>
          <w:szCs w:val="32"/>
          <w:lang w:val="en-US" w:eastAsia="zh-CN" w:bidi="ar"/>
        </w:rPr>
        <w:t>菌落总数（</w:t>
      </w:r>
      <w:r>
        <w:rPr>
          <w:rFonts w:hint="default" w:ascii="Times New Roman" w:hAnsi="Times New Roman" w:eastAsia="仿宋" w:cs="仿宋"/>
          <w:b w:val="0"/>
          <w:bCs w:val="0"/>
          <w:color w:val="000000"/>
          <w:kern w:val="0"/>
          <w:sz w:val="32"/>
          <w:szCs w:val="32"/>
          <w:lang w:val="en-US" w:eastAsia="zh-CN" w:bidi="ar"/>
        </w:rPr>
        <w:t>aerobic plate count, APC</w:t>
      </w:r>
      <w:r>
        <w:rPr>
          <w:rFonts w:hint="eastAsia" w:ascii="Times New Roman" w:hAnsi="Times New Roman" w:eastAsia="仿宋" w:cs="仿宋"/>
          <w:b w:val="0"/>
          <w:bCs w:val="0"/>
          <w:color w:val="000000"/>
          <w:kern w:val="0"/>
          <w:sz w:val="32"/>
          <w:szCs w:val="32"/>
          <w:lang w:val="en-US" w:eastAsia="zh-CN" w:bidi="ar"/>
        </w:rPr>
        <w:t>）是</w:t>
      </w:r>
      <w:r>
        <w:rPr>
          <w:rFonts w:hint="eastAsia" w:ascii="Times New Roman" w:hAnsi="Times New Roman" w:eastAsia="仿宋" w:cs="仿宋"/>
          <w:b w:val="0"/>
          <w:bCs w:val="0"/>
          <w:color w:val="000000"/>
          <w:kern w:val="0"/>
          <w:sz w:val="32"/>
          <w:szCs w:val="32"/>
          <w:lang w:val="en-US" w:eastAsia="zh-CN" w:bidi="ar"/>
        </w:rPr>
        <w:t>指在被检样品的单位质量（</w:t>
      </w:r>
      <w:r>
        <w:rPr>
          <w:rFonts w:hint="default" w:ascii="Times New Roman" w:hAnsi="Times New Roman" w:eastAsia="仿宋" w:cs="仿宋"/>
          <w:b w:val="0"/>
          <w:bCs w:val="0"/>
          <w:color w:val="000000"/>
          <w:kern w:val="0"/>
          <w:sz w:val="32"/>
          <w:szCs w:val="32"/>
          <w:lang w:val="en-US" w:eastAsia="zh-CN" w:bidi="ar"/>
        </w:rPr>
        <w:t>g</w:t>
      </w:r>
      <w:r>
        <w:rPr>
          <w:rFonts w:hint="eastAsia" w:ascii="Times New Roman" w:hAnsi="Times New Roman" w:eastAsia="仿宋" w:cs="仿宋"/>
          <w:b w:val="0"/>
          <w:bCs w:val="0"/>
          <w:color w:val="000000"/>
          <w:kern w:val="0"/>
          <w:sz w:val="32"/>
          <w:szCs w:val="32"/>
          <w:lang w:val="en-US" w:eastAsia="zh-CN" w:bidi="ar"/>
        </w:rPr>
        <w:t>）、容积（</w:t>
      </w:r>
      <w:r>
        <w:rPr>
          <w:rFonts w:hint="default" w:ascii="Times New Roman" w:hAnsi="Times New Roman" w:eastAsia="仿宋" w:cs="仿宋"/>
          <w:b w:val="0"/>
          <w:bCs w:val="0"/>
          <w:color w:val="000000"/>
          <w:kern w:val="0"/>
          <w:sz w:val="32"/>
          <w:szCs w:val="32"/>
          <w:lang w:val="en-US" w:eastAsia="zh-CN" w:bidi="ar"/>
        </w:rPr>
        <w:t>mL</w:t>
      </w:r>
      <w:r>
        <w:rPr>
          <w:rFonts w:hint="eastAsia" w:ascii="Times New Roman" w:hAnsi="Times New Roman" w:eastAsia="仿宋" w:cs="仿宋"/>
          <w:b w:val="0"/>
          <w:bCs w:val="0"/>
          <w:color w:val="000000"/>
          <w:kern w:val="0"/>
          <w:sz w:val="32"/>
          <w:szCs w:val="32"/>
          <w:lang w:val="en-US" w:eastAsia="zh-CN" w:bidi="ar"/>
        </w:rPr>
        <w:t>） 或表面积（</w:t>
      </w:r>
      <w:r>
        <w:rPr>
          <w:rFonts w:hint="default" w:ascii="Times New Roman" w:hAnsi="Times New Roman" w:eastAsia="仿宋" w:cs="仿宋"/>
          <w:b w:val="0"/>
          <w:bCs w:val="0"/>
          <w:color w:val="000000"/>
          <w:kern w:val="0"/>
          <w:sz w:val="32"/>
          <w:szCs w:val="32"/>
          <w:lang w:val="en-US" w:eastAsia="zh-CN" w:bidi="ar"/>
        </w:rPr>
        <w:t>cm 2</w:t>
      </w:r>
      <w:r>
        <w:rPr>
          <w:rFonts w:hint="eastAsia" w:ascii="Times New Roman" w:hAnsi="Times New Roman" w:eastAsia="仿宋" w:cs="仿宋"/>
          <w:b w:val="0"/>
          <w:bCs w:val="0"/>
          <w:color w:val="000000"/>
          <w:kern w:val="0"/>
          <w:sz w:val="32"/>
          <w:szCs w:val="32"/>
          <w:lang w:val="en-US" w:eastAsia="zh-CN" w:bidi="ar"/>
        </w:rPr>
        <w:t xml:space="preserve">）内，所含能在严格规定的条件下（需氧情况培养基及其 </w:t>
      </w:r>
      <w:r>
        <w:rPr>
          <w:rFonts w:hint="default" w:ascii="Times New Roman" w:hAnsi="Times New Roman" w:eastAsia="仿宋" w:cs="仿宋"/>
          <w:b w:val="0"/>
          <w:bCs w:val="0"/>
          <w:color w:val="000000"/>
          <w:kern w:val="0"/>
          <w:sz w:val="32"/>
          <w:szCs w:val="32"/>
          <w:lang w:val="en-US" w:eastAsia="zh-CN" w:bidi="ar"/>
        </w:rPr>
        <w:t>pH</w:t>
      </w:r>
      <w:r>
        <w:rPr>
          <w:rFonts w:hint="eastAsia" w:ascii="Times New Roman" w:hAnsi="Times New Roman" w:eastAsia="仿宋" w:cs="仿宋"/>
          <w:b w:val="0"/>
          <w:bCs w:val="0"/>
          <w:color w:val="000000"/>
          <w:kern w:val="0"/>
          <w:sz w:val="32"/>
          <w:szCs w:val="32"/>
          <w:lang w:val="en-US" w:eastAsia="zh-CN" w:bidi="ar"/>
        </w:rPr>
        <w:t>、培养温度与 时间、计数方法等）培养所生成的微生物菌落的数量，以菌落形成单位（</w:t>
      </w:r>
      <w:r>
        <w:rPr>
          <w:rFonts w:hint="default" w:ascii="Times New Roman" w:hAnsi="Times New Roman" w:eastAsia="仿宋" w:cs="仿宋"/>
          <w:b w:val="0"/>
          <w:bCs w:val="0"/>
          <w:color w:val="000000"/>
          <w:kern w:val="0"/>
          <w:sz w:val="32"/>
          <w:szCs w:val="32"/>
          <w:lang w:val="en-US" w:eastAsia="zh-CN" w:bidi="ar"/>
        </w:rPr>
        <w:t>CFU</w:t>
      </w:r>
      <w:r>
        <w:rPr>
          <w:rFonts w:hint="eastAsia" w:ascii="Times New Roman" w:hAnsi="Times New Roman" w:eastAsia="仿宋" w:cs="仿宋"/>
          <w:b w:val="0"/>
          <w:bCs w:val="0"/>
          <w:color w:val="000000"/>
          <w:kern w:val="0"/>
          <w:sz w:val="32"/>
          <w:szCs w:val="32"/>
          <w:lang w:val="en-US" w:eastAsia="zh-CN" w:bidi="ar"/>
        </w:rPr>
        <w:t>）表示。</w:t>
      </w:r>
      <w:r>
        <w:rPr>
          <w:rFonts w:hint="default" w:ascii="Times New Roman" w:hAnsi="Times New Roman" w:eastAsia="仿宋" w:cs="仿宋"/>
          <w:b w:val="0"/>
          <w:bCs w:val="0"/>
          <w:color w:val="000000"/>
          <w:kern w:val="0"/>
          <w:sz w:val="32"/>
          <w:szCs w:val="32"/>
          <w:lang w:val="en-US" w:eastAsia="zh-CN" w:bidi="ar"/>
        </w:rPr>
        <w:t xml:space="preserve"> </w:t>
      </w:r>
      <w:r>
        <w:rPr>
          <w:rFonts w:hint="eastAsia" w:ascii="Times New Roman" w:hAnsi="Times New Roman" w:eastAsia="仿宋" w:cs="仿宋"/>
          <w:b w:val="0"/>
          <w:bCs w:val="0"/>
          <w:color w:val="000000"/>
          <w:kern w:val="0"/>
          <w:sz w:val="32"/>
          <w:szCs w:val="32"/>
          <w:lang w:val="en-US" w:eastAsia="zh-CN" w:bidi="ar"/>
        </w:rPr>
        <w:t>菌落总数是指示性微生物指标，并非致病菌指标。其卫生学意义主要是：一是作为食 品被微生物污染程度，即清洁状态的标志，反映食品在生产过程中的卫生状况；二是预测食品耐保藏性。一般来讲，食品中菌落总数数量越多，食品腐败变质的速度就越快。如果 食品的菌落总数严重超标，将会破坏食品的营养成分，使食品失去食用价值；还会加速食 品的腐败变质，可能危害人体健康。</w:t>
      </w:r>
      <w:r>
        <w:rPr>
          <w:rFonts w:hint="eastAsia" w:ascii="仿宋" w:hAnsi="仿宋" w:eastAsia="仿宋" w:cs="仿宋"/>
          <w:b w:val="0"/>
          <w:bCs w:val="0"/>
          <w:color w:val="000000"/>
          <w:kern w:val="0"/>
          <w:sz w:val="32"/>
          <w:szCs w:val="32"/>
          <w:lang w:val="en-US" w:eastAsia="zh-CN" w:bidi="ar"/>
        </w:rPr>
        <w:t xml:space="preserve"> </w:t>
      </w:r>
      <w:r>
        <w:rPr>
          <w:rFonts w:hint="eastAsia" w:ascii="Times New Roman" w:hAnsi="Times New Roman" w:eastAsia="仿宋" w:cs="仿宋"/>
          <w:sz w:val="32"/>
          <w:szCs w:val="32"/>
        </w:rPr>
        <w:t>《食品安全国家标准 糕点、面包》（GB 7099—2015）中规定，糕点食品同一批次产品5个样品</w:t>
      </w:r>
      <w:r>
        <w:rPr>
          <w:rFonts w:hint="eastAsia" w:ascii="Times New Roman" w:hAnsi="Times New Roman" w:eastAsia="仿宋" w:cs="仿宋"/>
          <w:sz w:val="32"/>
          <w:szCs w:val="32"/>
          <w:lang w:eastAsia="zh-CN"/>
        </w:rPr>
        <w:t>中菌落总数</w:t>
      </w:r>
      <w:r>
        <w:rPr>
          <w:rFonts w:hint="eastAsia" w:ascii="Times New Roman" w:hAnsi="Times New Roman" w:eastAsia="仿宋" w:cs="仿宋"/>
          <w:sz w:val="32"/>
          <w:szCs w:val="32"/>
        </w:rPr>
        <w:t>的检测结果均不得超过10</w:t>
      </w:r>
      <w:r>
        <w:rPr>
          <w:rFonts w:hint="eastAsia" w:ascii="Times New Roman" w:hAnsi="Times New Roman" w:eastAsia="仿宋" w:cs="仿宋"/>
          <w:sz w:val="32"/>
          <w:szCs w:val="32"/>
          <w:vertAlign w:val="superscript"/>
        </w:rPr>
        <w:t>5</w:t>
      </w:r>
      <w:r>
        <w:rPr>
          <w:rFonts w:hint="eastAsia" w:ascii="Times New Roman" w:hAnsi="Times New Roman" w:eastAsia="仿宋" w:cs="仿宋"/>
          <w:sz w:val="32"/>
          <w:szCs w:val="32"/>
        </w:rPr>
        <w:t>CFU/g，</w:t>
      </w:r>
      <w:r>
        <w:rPr>
          <w:rFonts w:hint="eastAsia" w:ascii="Times New Roman" w:hAnsi="Times New Roman" w:eastAsia="仿宋" w:cs="仿宋"/>
          <w:sz w:val="32"/>
          <w:szCs w:val="32"/>
          <w:shd w:val="clear" w:color="auto" w:fill="FFFFFF"/>
        </w:rPr>
        <w:t>且最多允许2个样品的检测结果超过10</w:t>
      </w:r>
      <w:r>
        <w:rPr>
          <w:rFonts w:hint="eastAsia" w:ascii="Times New Roman" w:hAnsi="Times New Roman" w:eastAsia="仿宋" w:cs="仿宋"/>
          <w:sz w:val="32"/>
          <w:szCs w:val="32"/>
          <w:shd w:val="clear" w:color="auto" w:fill="FFFFFF"/>
          <w:vertAlign w:val="superscript"/>
        </w:rPr>
        <w:t>4</w:t>
      </w:r>
      <w:r>
        <w:rPr>
          <w:rFonts w:hint="eastAsia" w:ascii="Times New Roman" w:hAnsi="Times New Roman" w:eastAsia="仿宋" w:cs="仿宋"/>
          <w:sz w:val="32"/>
          <w:szCs w:val="32"/>
          <w:shd w:val="clear" w:color="auto" w:fill="FFFFFF"/>
        </w:rPr>
        <w:t>CFU/g。</w:t>
      </w:r>
      <w:r>
        <w:rPr>
          <w:rFonts w:hint="eastAsia" w:ascii="Times New Roman" w:hAnsi="Times New Roman" w:eastAsia="仿宋" w:cs="仿宋"/>
          <w:b w:val="0"/>
          <w:bCs w:val="0"/>
          <w:color w:val="000000"/>
          <w:kern w:val="0"/>
          <w:sz w:val="32"/>
          <w:szCs w:val="32"/>
          <w:lang w:val="en-US" w:eastAsia="zh-CN" w:bidi="ar"/>
        </w:rPr>
        <w:t>菌落总数超标说明生产经营企业可能未按要求严格控制生产加工过程的卫生条件，或 者包装容器清洗消毒不到位；还有可能与产品包装密封不严，储运条件控制不当等有关。</w:t>
      </w:r>
      <w:r>
        <w:rPr>
          <w:rFonts w:hint="default" w:ascii="Times New Roman" w:hAnsi="Times New Roman" w:eastAsia="仿宋" w:cs="仿宋"/>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四、噻虫胺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噻虫胺属新烟碱类杀虫剂，具有内吸性、触杀和胃毒作用，对姜蛆等有较好防效。少量的残留不会引起人体急性中毒，但长期食用噻虫胺超标的食品，对人体健康可能有一定影响。《食品安全国家标准 食品中农药最大残留限量》（GB 2763—2021）中规定，噻虫胺在根茎类蔬菜中的最大残留限量值为0.2mg/kg。姜中噻虫胺残留量超标的原因，可能是为快速控制虫害，加大用药量或未遵守采摘间隔期规定，致使上市销售的产品中残留量超标。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五、过氧化值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该指标不合格一般不会对人体的健康产生损害，但过多食用，严重时会导致肠胃不适、腹泻等症状。一般情况下，如果食品氧化变质，消费者在食用过程中能辨别出哈喇等异味，需避免食用。过氧化值超标的原因可能是产品用油已经变质，或者产品在储存过程中环境条件控制不当，导致产品酸败；也可能是原料中的脂肪已经氧化，储存不当，或未采取有效的抗氧化措施，使得终产品油脂氧化。此外，植物油精炼不到位也可能造成食用油、油脂及其制品的过氧化值不合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仿宋"/>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仿宋"/>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仿宋"/>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N2U5N2RlZWZlNTdlMDEzYzFhMGEyYjVkNWFlYzEifQ=="/>
  </w:docVars>
  <w:rsids>
    <w:rsidRoot w:val="3EC62720"/>
    <w:rsid w:val="00125DE2"/>
    <w:rsid w:val="00196DFC"/>
    <w:rsid w:val="002659BA"/>
    <w:rsid w:val="00336E90"/>
    <w:rsid w:val="00544728"/>
    <w:rsid w:val="006E13BB"/>
    <w:rsid w:val="00761FD4"/>
    <w:rsid w:val="007C6175"/>
    <w:rsid w:val="008A30C7"/>
    <w:rsid w:val="008A4335"/>
    <w:rsid w:val="009206BB"/>
    <w:rsid w:val="00964412"/>
    <w:rsid w:val="00B548D8"/>
    <w:rsid w:val="00C9365D"/>
    <w:rsid w:val="00DD4A4A"/>
    <w:rsid w:val="00FE0513"/>
    <w:rsid w:val="02414E40"/>
    <w:rsid w:val="02E87B30"/>
    <w:rsid w:val="03853E39"/>
    <w:rsid w:val="04C05139"/>
    <w:rsid w:val="053527E0"/>
    <w:rsid w:val="05DD748C"/>
    <w:rsid w:val="065D0CA8"/>
    <w:rsid w:val="076A1836"/>
    <w:rsid w:val="07D37C8C"/>
    <w:rsid w:val="08974840"/>
    <w:rsid w:val="0A192228"/>
    <w:rsid w:val="0A82409E"/>
    <w:rsid w:val="0AAE4D7E"/>
    <w:rsid w:val="0BE313A6"/>
    <w:rsid w:val="0F091DFC"/>
    <w:rsid w:val="0F6E38F9"/>
    <w:rsid w:val="112B62BC"/>
    <w:rsid w:val="11467350"/>
    <w:rsid w:val="11D367BB"/>
    <w:rsid w:val="122E5F23"/>
    <w:rsid w:val="12663C79"/>
    <w:rsid w:val="129B12F7"/>
    <w:rsid w:val="12FE4EA3"/>
    <w:rsid w:val="131052A6"/>
    <w:rsid w:val="131E292F"/>
    <w:rsid w:val="13AF3940"/>
    <w:rsid w:val="148E0EFA"/>
    <w:rsid w:val="151F206B"/>
    <w:rsid w:val="15BC592F"/>
    <w:rsid w:val="1670375D"/>
    <w:rsid w:val="16C307C3"/>
    <w:rsid w:val="16CE467C"/>
    <w:rsid w:val="16D2615F"/>
    <w:rsid w:val="16F5712B"/>
    <w:rsid w:val="17F826F6"/>
    <w:rsid w:val="181B1655"/>
    <w:rsid w:val="1A314A0C"/>
    <w:rsid w:val="1BE361F6"/>
    <w:rsid w:val="1D4B315C"/>
    <w:rsid w:val="1F2C667E"/>
    <w:rsid w:val="20767FD1"/>
    <w:rsid w:val="207816C0"/>
    <w:rsid w:val="220A3C15"/>
    <w:rsid w:val="22503E92"/>
    <w:rsid w:val="226C7D18"/>
    <w:rsid w:val="22B555CE"/>
    <w:rsid w:val="232D0A0C"/>
    <w:rsid w:val="23515075"/>
    <w:rsid w:val="25950FD2"/>
    <w:rsid w:val="261A1CA5"/>
    <w:rsid w:val="27B21BD4"/>
    <w:rsid w:val="27C93E47"/>
    <w:rsid w:val="29462059"/>
    <w:rsid w:val="297344A9"/>
    <w:rsid w:val="29AB7065"/>
    <w:rsid w:val="2B096EC2"/>
    <w:rsid w:val="2B4B1607"/>
    <w:rsid w:val="2BB9757E"/>
    <w:rsid w:val="2D166D28"/>
    <w:rsid w:val="2E703BCB"/>
    <w:rsid w:val="2EC1217C"/>
    <w:rsid w:val="31651B5E"/>
    <w:rsid w:val="31A0210C"/>
    <w:rsid w:val="322B45D0"/>
    <w:rsid w:val="325A22CB"/>
    <w:rsid w:val="36200A5F"/>
    <w:rsid w:val="37A23A6E"/>
    <w:rsid w:val="38015D0C"/>
    <w:rsid w:val="38AE03B1"/>
    <w:rsid w:val="39791C8C"/>
    <w:rsid w:val="3AD254C1"/>
    <w:rsid w:val="3AE0325B"/>
    <w:rsid w:val="3B077965"/>
    <w:rsid w:val="3C146E27"/>
    <w:rsid w:val="3C207777"/>
    <w:rsid w:val="3C2D56A9"/>
    <w:rsid w:val="3C6729C6"/>
    <w:rsid w:val="3C831602"/>
    <w:rsid w:val="3D853DC0"/>
    <w:rsid w:val="3EC62720"/>
    <w:rsid w:val="3FCB5D78"/>
    <w:rsid w:val="41AF197C"/>
    <w:rsid w:val="41DA5D96"/>
    <w:rsid w:val="422F6B93"/>
    <w:rsid w:val="438E3CC6"/>
    <w:rsid w:val="43992B6D"/>
    <w:rsid w:val="43ED4958"/>
    <w:rsid w:val="43F6338C"/>
    <w:rsid w:val="44784FD3"/>
    <w:rsid w:val="44C3551D"/>
    <w:rsid w:val="455178FD"/>
    <w:rsid w:val="46993311"/>
    <w:rsid w:val="475D638A"/>
    <w:rsid w:val="476E50BF"/>
    <w:rsid w:val="48507B92"/>
    <w:rsid w:val="48FD60D4"/>
    <w:rsid w:val="491103B9"/>
    <w:rsid w:val="49D0572D"/>
    <w:rsid w:val="4AD95CE4"/>
    <w:rsid w:val="4B2A3E52"/>
    <w:rsid w:val="4C7D7B14"/>
    <w:rsid w:val="4E611062"/>
    <w:rsid w:val="4EC73E87"/>
    <w:rsid w:val="4F154ECD"/>
    <w:rsid w:val="5077216A"/>
    <w:rsid w:val="53034B31"/>
    <w:rsid w:val="5362653D"/>
    <w:rsid w:val="53641F6C"/>
    <w:rsid w:val="53E94C5D"/>
    <w:rsid w:val="544F1820"/>
    <w:rsid w:val="566C366B"/>
    <w:rsid w:val="57BE7406"/>
    <w:rsid w:val="580118BB"/>
    <w:rsid w:val="58381A21"/>
    <w:rsid w:val="5923580E"/>
    <w:rsid w:val="59AB0AF5"/>
    <w:rsid w:val="59B802DF"/>
    <w:rsid w:val="59B90E38"/>
    <w:rsid w:val="5AE174DA"/>
    <w:rsid w:val="5AFA3373"/>
    <w:rsid w:val="5C607ED1"/>
    <w:rsid w:val="5D833CC6"/>
    <w:rsid w:val="5D98000A"/>
    <w:rsid w:val="5DA620A8"/>
    <w:rsid w:val="5E086E28"/>
    <w:rsid w:val="5F0C07F1"/>
    <w:rsid w:val="5F94302F"/>
    <w:rsid w:val="61145E6A"/>
    <w:rsid w:val="62B35678"/>
    <w:rsid w:val="62B471AC"/>
    <w:rsid w:val="642B001B"/>
    <w:rsid w:val="64D070F0"/>
    <w:rsid w:val="666F30C1"/>
    <w:rsid w:val="672F5204"/>
    <w:rsid w:val="687E7DB6"/>
    <w:rsid w:val="68F002C1"/>
    <w:rsid w:val="6B1A2B80"/>
    <w:rsid w:val="6BC57636"/>
    <w:rsid w:val="6BCA2822"/>
    <w:rsid w:val="6C5478E2"/>
    <w:rsid w:val="6C914BB1"/>
    <w:rsid w:val="6CF743FB"/>
    <w:rsid w:val="6D535020"/>
    <w:rsid w:val="6DB817D1"/>
    <w:rsid w:val="6DEC0566"/>
    <w:rsid w:val="6E7F683D"/>
    <w:rsid w:val="6E961EC3"/>
    <w:rsid w:val="6EE21678"/>
    <w:rsid w:val="6F1D4AB5"/>
    <w:rsid w:val="6F4E5190"/>
    <w:rsid w:val="6FF858C5"/>
    <w:rsid w:val="706F49BF"/>
    <w:rsid w:val="71701BFE"/>
    <w:rsid w:val="72602D3C"/>
    <w:rsid w:val="73171CCA"/>
    <w:rsid w:val="734721FF"/>
    <w:rsid w:val="743E72E6"/>
    <w:rsid w:val="75D84043"/>
    <w:rsid w:val="76DE028A"/>
    <w:rsid w:val="770B0008"/>
    <w:rsid w:val="793F1D67"/>
    <w:rsid w:val="79482FA3"/>
    <w:rsid w:val="79E26CF6"/>
    <w:rsid w:val="7A776BC5"/>
    <w:rsid w:val="7BA92284"/>
    <w:rsid w:val="7D5B2C4B"/>
    <w:rsid w:val="7DF503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locked/>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unhideWhenUsed/>
    <w:qFormat/>
    <w:uiPriority w:val="0"/>
    <w:pPr>
      <w:spacing w:after="120"/>
      <w:ind w:left="420" w:leftChars="200"/>
    </w:pPr>
  </w:style>
  <w:style w:type="paragraph" w:styleId="5">
    <w:name w:val="Normal (Web)"/>
    <w:basedOn w:val="1"/>
    <w:qFormat/>
    <w:uiPriority w:val="99"/>
    <w:pPr>
      <w:spacing w:beforeAutospacing="1" w:afterAutospacing="1"/>
      <w:jc w:val="left"/>
    </w:pPr>
    <w:rPr>
      <w:kern w:val="0"/>
      <w:sz w:val="24"/>
      <w:szCs w:val="24"/>
    </w:rPr>
  </w:style>
  <w:style w:type="character" w:styleId="8">
    <w:name w:val="Hyperlink"/>
    <w:basedOn w:val="7"/>
    <w:qFormat/>
    <w:uiPriority w:val="99"/>
    <w:rPr>
      <w:color w:val="0000FF"/>
      <w:u w:val="single"/>
    </w:rPr>
  </w:style>
  <w:style w:type="paragraph" w:customStyle="1" w:styleId="9">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773</Words>
  <Characters>827</Characters>
  <Lines>2</Lines>
  <Paragraphs>1</Paragraphs>
  <TotalTime>2</TotalTime>
  <ScaleCrop>false</ScaleCrop>
  <LinksUpToDate>false</LinksUpToDate>
  <CharactersWithSpaces>836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2018-08-06T07:53:00Z</dcterms:created>
  <dc:creator>Administrator</dc:creator>
  <cp:lastModifiedBy>Administrator</cp:lastModifiedBy>
  <cp:lastPrinted>2019-10-11T07:41:00Z</cp:lastPrinted>
  <dcterms:modified xsi:type="dcterms:W3CDTF">2022-09-20T06:58:59Z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F519C4978CA746E9A56A13B5BC115892</vt:lpwstr>
  </property>
  <property fmtid="{D5CDD505-2E9C-101B-9397-08002B2CF9AE}" pid="4" name="commondata">
    <vt:lpwstr>eyJoZGlkIjoiNWQ5N2U5N2RlZWZlNTdlMDEzYzFhMGEyYjVkNWFlYzEifQ==</vt:lpwstr>
  </property>
</Properties>
</file>