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val="0"/>
        <w:snapToGrid w:val="0"/>
        <w:spacing w:line="560" w:lineRule="exact"/>
        <w:ind w:left="0" w:leftChars="0" w:firstLine="0" w:firstLineChars="0"/>
        <w:textAlignment w:val="auto"/>
        <w:rPr>
          <w:rFonts w:hint="eastAsia" w:ascii="CESI仿宋-GB2312" w:hAnsi="CESI仿宋-GB2312" w:eastAsia="CESI仿宋-GB2312" w:cs="CESI仿宋-GB2312"/>
          <w:b w:val="0"/>
          <w:bCs w:val="0"/>
          <w:sz w:val="32"/>
          <w:szCs w:val="32"/>
        </w:rPr>
      </w:pPr>
      <w:bookmarkStart w:id="0" w:name="_GoBack"/>
      <w:bookmarkEnd w:id="0"/>
      <w:r>
        <w:rPr>
          <w:rFonts w:hint="eastAsia" w:ascii="CESI仿宋-GB2312" w:hAnsi="CESI仿宋-GB2312" w:eastAsia="CESI仿宋-GB2312" w:cs="CESI仿宋-GB2312"/>
          <w:b w:val="0"/>
          <w:bCs w:val="0"/>
          <w:sz w:val="32"/>
          <w:szCs w:val="32"/>
        </w:rPr>
        <w:t>附件1</w:t>
      </w:r>
    </w:p>
    <w:p>
      <w:pPr>
        <w:pageBreakBefore w:val="0"/>
        <w:widowControl w:val="0"/>
        <w:kinsoku/>
        <w:wordWrap/>
        <w:overflowPunct/>
        <w:topLinePunct w:val="0"/>
        <w:autoSpaceDE/>
        <w:autoSpaceDN/>
        <w:bidi w:val="0"/>
        <w:adjustRightInd w:val="0"/>
        <w:snapToGrid w:val="0"/>
        <w:spacing w:line="560" w:lineRule="exact"/>
        <w:textAlignment w:val="auto"/>
        <w:rPr>
          <w:rFonts w:hint="eastAsia" w:ascii="CESI仿宋-GB2312" w:hAnsi="CESI仿宋-GB2312" w:eastAsia="CESI仿宋-GB2312" w:cs="CESI仿宋-GB2312"/>
          <w:b w:val="0"/>
          <w:bCs w:val="0"/>
        </w:rPr>
      </w:pPr>
      <w:r>
        <w:rPr>
          <w:rFonts w:hint="eastAsia" w:ascii="CESI仿宋-GB2312" w:hAnsi="CESI仿宋-GB2312" w:eastAsia="CESI仿宋-GB2312" w:cs="CESI仿宋-GB2312"/>
          <w:b w:val="0"/>
          <w:bCs w:val="0"/>
        </w:rPr>
        <w:t>本次检验项目</w:t>
      </w:r>
    </w:p>
    <w:p>
      <w:pPr>
        <w:pStyle w:val="5"/>
        <w:pageBreakBefore w:val="0"/>
        <w:widowControl w:val="0"/>
        <w:numPr>
          <w:ilvl w:val="0"/>
          <w:numId w:val="1"/>
        </w:numPr>
        <w:kinsoku/>
        <w:wordWrap/>
        <w:overflowPunct/>
        <w:topLinePunct w:val="0"/>
        <w:autoSpaceDE/>
        <w:autoSpaceDN/>
        <w:bidi w:val="0"/>
        <w:adjustRightInd w:val="0"/>
        <w:snapToGrid w:val="0"/>
        <w:spacing w:before="0" w:beforeLines="0" w:afterLines="0" w:line="560" w:lineRule="exact"/>
        <w:textAlignment w:val="auto"/>
        <w:rPr>
          <w:rFonts w:hint="eastAsia" w:ascii="CESI仿宋-GB2312" w:hAnsi="CESI仿宋-GB2312" w:eastAsia="CESI仿宋-GB2312" w:cs="CESI仿宋-GB2312"/>
          <w:b w:val="0"/>
          <w:bCs w:val="0"/>
        </w:rPr>
      </w:pPr>
      <w:r>
        <w:rPr>
          <w:rFonts w:hint="eastAsia" w:ascii="CESI仿宋-GB2312" w:hAnsi="CESI仿宋-GB2312" w:eastAsia="CESI仿宋-GB2312" w:cs="CESI仿宋-GB2312"/>
          <w:b w:val="0"/>
          <w:bCs w:val="0"/>
          <w:lang w:eastAsia="zh-CN"/>
        </w:rPr>
        <w:t>食用农产品</w:t>
      </w:r>
    </w:p>
    <w:p>
      <w:pPr>
        <w:pageBreakBefore w:val="0"/>
        <w:widowControl w:val="0"/>
        <w:kinsoku/>
        <w:wordWrap/>
        <w:overflowPunct/>
        <w:topLinePunct w:val="0"/>
        <w:autoSpaceDE/>
        <w:autoSpaceDN/>
        <w:bidi w:val="0"/>
        <w:adjustRightInd w:val="0"/>
        <w:snapToGrid w:val="0"/>
        <w:spacing w:line="560" w:lineRule="exact"/>
        <w:textAlignment w:val="auto"/>
        <w:rPr>
          <w:rFonts w:hint="eastAsia" w:ascii="CESI仿宋-GB2312" w:hAnsi="CESI仿宋-GB2312" w:eastAsia="CESI仿宋-GB2312" w:cs="CESI仿宋-GB2312"/>
          <w:b w:val="0"/>
          <w:bCs w:val="0"/>
        </w:rPr>
      </w:pPr>
      <w:r>
        <w:rPr>
          <w:rFonts w:hint="eastAsia" w:ascii="CESI仿宋-GB2312" w:hAnsi="CESI仿宋-GB2312" w:eastAsia="CESI仿宋-GB2312" w:cs="CESI仿宋-GB2312"/>
          <w:b w:val="0"/>
          <w:bCs w:val="0"/>
        </w:rPr>
        <w:t>（一）抽检依据</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CESI仿宋-GB2312" w:hAnsi="CESI仿宋-GB2312" w:eastAsia="CESI仿宋-GB2312" w:cs="CESI仿宋-GB2312"/>
          <w:b w:val="0"/>
          <w:bCs w:val="0"/>
        </w:rPr>
      </w:pPr>
      <w:r>
        <w:rPr>
          <w:rFonts w:hint="eastAsia" w:ascii="CESI仿宋-GB2312" w:hAnsi="CESI仿宋-GB2312" w:eastAsia="CESI仿宋-GB2312" w:cs="CESI仿宋-GB2312"/>
          <w:b w:val="0"/>
          <w:bCs w:val="0"/>
        </w:rPr>
        <w:t>抽检依据是</w:t>
      </w:r>
      <w:r>
        <w:rPr>
          <w:rFonts w:hint="eastAsia" w:ascii="CESI仿宋-GB2312" w:hAnsi="CESI仿宋-GB2312" w:eastAsia="CESI仿宋-GB2312" w:cs="CESI仿宋-GB2312"/>
          <w:b w:val="0"/>
          <w:bCs w:val="0"/>
          <w:lang w:val="en-US" w:eastAsia="zh-CN"/>
        </w:rPr>
        <w:t>GB 2763-2021《食品安全国家标准 食品中农药最大残留限量》</w:t>
      </w:r>
      <w:r>
        <w:rPr>
          <w:rFonts w:hint="eastAsia" w:ascii="CESI仿宋-GB2312" w:hAnsi="CESI仿宋-GB2312" w:eastAsia="CESI仿宋-GB2312" w:cs="CESI仿宋-GB2312"/>
          <w:b w:val="0"/>
          <w:bCs w:val="0"/>
          <w:lang w:val="en-US" w:eastAsia="zh-CN"/>
        </w:rPr>
        <w:t>、</w:t>
      </w:r>
      <w:r>
        <w:rPr>
          <w:rFonts w:hint="eastAsia" w:ascii="CESI仿宋-GB2312" w:hAnsi="CESI仿宋-GB2312" w:eastAsia="CESI仿宋-GB2312" w:cs="CESI仿宋-GB2312"/>
          <w:b w:val="0"/>
          <w:bCs w:val="0"/>
          <w:lang w:val="en-US" w:eastAsia="zh-CN"/>
        </w:rPr>
        <w:t>GB 2762-2017《食品安全国家标准 食品中污染物限量（含第1号修改单）》</w:t>
      </w:r>
      <w:r>
        <w:rPr>
          <w:rFonts w:hint="eastAsia" w:ascii="CESI仿宋-GB2312" w:hAnsi="CESI仿宋-GB2312" w:eastAsia="CESI仿宋-GB2312" w:cs="CESI仿宋-GB2312"/>
          <w:b w:val="0"/>
          <w:bCs w:val="0"/>
          <w:lang w:eastAsia="zh-CN"/>
        </w:rPr>
        <w:t>、</w:t>
      </w:r>
      <w:r>
        <w:rPr>
          <w:rFonts w:hint="eastAsia" w:ascii="CESI仿宋-GB2312" w:hAnsi="CESI仿宋-GB2312" w:eastAsia="CESI仿宋-GB2312" w:cs="CESI仿宋-GB2312"/>
          <w:b w:val="0"/>
          <w:bCs w:val="0"/>
          <w:lang w:val="en-US" w:eastAsia="zh-CN"/>
        </w:rPr>
        <w:t>国家食品药品监督管理总局农业部国家卫生和计划生育委员会关于豆芽生产过程中禁止使用6-苄基腺嘌呤等物质的公告(2015年第11号)</w:t>
      </w:r>
      <w:r>
        <w:rPr>
          <w:rFonts w:hint="eastAsia" w:ascii="CESI仿宋-GB2312" w:hAnsi="CESI仿宋-GB2312" w:eastAsia="CESI仿宋-GB2312" w:cs="CESI仿宋-GB2312"/>
          <w:b w:val="0"/>
          <w:bCs w:val="0"/>
          <w:lang w:eastAsia="zh-CN"/>
        </w:rPr>
        <w:t>、</w:t>
      </w:r>
      <w:r>
        <w:rPr>
          <w:rFonts w:hint="eastAsia" w:ascii="CESI仿宋-GB2312" w:hAnsi="CESI仿宋-GB2312" w:eastAsia="CESI仿宋-GB2312" w:cs="CESI仿宋-GB2312"/>
          <w:b w:val="0"/>
          <w:bCs w:val="0"/>
          <w:lang w:val="en-US" w:eastAsia="zh-CN"/>
        </w:rPr>
        <w:t>GB 22556-2008《豆芽卫生标准》</w:t>
      </w:r>
      <w:r>
        <w:rPr>
          <w:rFonts w:hint="eastAsia" w:ascii="CESI仿宋-GB2312" w:hAnsi="CESI仿宋-GB2312" w:eastAsia="CESI仿宋-GB2312" w:cs="CESI仿宋-GB2312"/>
          <w:b w:val="0"/>
          <w:bCs w:val="0"/>
          <w:lang w:eastAsia="zh-CN"/>
        </w:rPr>
        <w:t>、</w:t>
      </w:r>
      <w:r>
        <w:rPr>
          <w:rFonts w:hint="eastAsia" w:ascii="CESI仿宋-GB2312" w:hAnsi="CESI仿宋-GB2312" w:eastAsia="CESI仿宋-GB2312" w:cs="CESI仿宋-GB2312"/>
          <w:b w:val="0"/>
          <w:bCs w:val="0"/>
          <w:lang w:val="en-US" w:eastAsia="zh-CN"/>
        </w:rPr>
        <w:t>GB 31650-2019《食品安全国家标准 食品中兽药最大残留限量》</w:t>
      </w:r>
      <w:r>
        <w:rPr>
          <w:rFonts w:hint="eastAsia" w:ascii="CESI仿宋-GB2312" w:hAnsi="CESI仿宋-GB2312" w:eastAsia="CESI仿宋-GB2312" w:cs="CESI仿宋-GB2312"/>
          <w:b w:val="0"/>
          <w:bCs w:val="0"/>
          <w:lang w:eastAsia="zh-CN"/>
        </w:rPr>
        <w:t>、</w:t>
      </w:r>
      <w:r>
        <w:rPr>
          <w:rFonts w:hint="eastAsia" w:ascii="CESI仿宋-GB2312" w:hAnsi="CESI仿宋-GB2312" w:eastAsia="CESI仿宋-GB2312" w:cs="CESI仿宋-GB2312"/>
          <w:b w:val="0"/>
          <w:bCs w:val="0"/>
          <w:lang w:val="en-US" w:eastAsia="zh-CN"/>
        </w:rPr>
        <w:t>整顿办函[2010]50号</w:t>
      </w:r>
      <w:r>
        <w:rPr>
          <w:rFonts w:hint="eastAsia" w:ascii="CESI仿宋-GB2312" w:hAnsi="CESI仿宋-GB2312" w:eastAsia="CESI仿宋-GB2312" w:cs="CESI仿宋-GB2312"/>
          <w:b w:val="0"/>
          <w:bCs w:val="0"/>
          <w:lang w:eastAsia="zh-CN"/>
        </w:rPr>
        <w:t>、</w:t>
      </w:r>
      <w:r>
        <w:rPr>
          <w:rFonts w:hint="eastAsia" w:ascii="CESI仿宋-GB2312" w:hAnsi="CESI仿宋-GB2312" w:eastAsia="CESI仿宋-GB2312" w:cs="CESI仿宋-GB2312"/>
          <w:b w:val="0"/>
          <w:bCs w:val="0"/>
          <w:lang w:val="en-US" w:eastAsia="zh-CN"/>
        </w:rPr>
        <w:t>农业农村部公告第250号</w:t>
      </w:r>
      <w:r>
        <w:rPr>
          <w:rFonts w:hint="eastAsia" w:ascii="CESI仿宋-GB2312" w:hAnsi="CESI仿宋-GB2312" w:eastAsia="CESI仿宋-GB2312" w:cs="CESI仿宋-GB2312"/>
          <w:b w:val="0"/>
          <w:bCs w:val="0"/>
          <w:lang w:eastAsia="zh-CN"/>
        </w:rPr>
        <w:t>、</w:t>
      </w:r>
      <w:r>
        <w:rPr>
          <w:rFonts w:hint="eastAsia" w:ascii="CESI仿宋-GB2312" w:hAnsi="CESI仿宋-GB2312" w:eastAsia="CESI仿宋-GB2312" w:cs="CESI仿宋-GB2312"/>
          <w:b w:val="0"/>
          <w:bCs w:val="0"/>
          <w:lang w:val="en-US" w:eastAsia="zh-CN"/>
        </w:rPr>
        <w:t>GB 2707-2016《食品安全国家标准 鲜（冻）畜、禽产品》</w:t>
      </w:r>
      <w:r>
        <w:rPr>
          <w:rFonts w:hint="eastAsia" w:ascii="CESI仿宋-GB2312" w:hAnsi="CESI仿宋-GB2312" w:eastAsia="CESI仿宋-GB2312" w:cs="CESI仿宋-GB2312"/>
          <w:b w:val="0"/>
          <w:bCs w:val="0"/>
        </w:rPr>
        <w:t>等标准和指标的要求。</w:t>
      </w:r>
    </w:p>
    <w:p>
      <w:pPr>
        <w:pageBreakBefore w:val="0"/>
        <w:widowControl w:val="0"/>
        <w:kinsoku/>
        <w:wordWrap/>
        <w:overflowPunct/>
        <w:topLinePunct w:val="0"/>
        <w:autoSpaceDE/>
        <w:autoSpaceDN/>
        <w:bidi w:val="0"/>
        <w:adjustRightInd w:val="0"/>
        <w:snapToGrid w:val="0"/>
        <w:spacing w:line="560" w:lineRule="exact"/>
        <w:ind w:firstLine="643"/>
        <w:textAlignment w:val="auto"/>
        <w:rPr>
          <w:rFonts w:hint="eastAsia" w:ascii="CESI仿宋-GB2312" w:hAnsi="CESI仿宋-GB2312" w:eastAsia="CESI仿宋-GB2312" w:cs="CESI仿宋-GB2312"/>
          <w:b w:val="0"/>
          <w:bCs w:val="0"/>
        </w:rPr>
      </w:pPr>
      <w:r>
        <w:rPr>
          <w:rFonts w:hint="eastAsia" w:ascii="CESI仿宋-GB2312" w:hAnsi="CESI仿宋-GB2312" w:eastAsia="CESI仿宋-GB2312" w:cs="CESI仿宋-GB2312"/>
          <w:b w:val="0"/>
          <w:bCs w:val="0"/>
        </w:rPr>
        <w:t>（二）检验项目</w:t>
      </w:r>
    </w:p>
    <w:p>
      <w:pPr>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CESI仿宋-GB2312" w:hAnsi="CESI仿宋-GB2312" w:eastAsia="CESI仿宋-GB2312" w:cs="CESI仿宋-GB2312"/>
          <w:b w:val="0"/>
          <w:bCs w:val="0"/>
        </w:rPr>
      </w:pPr>
      <w:r>
        <w:rPr>
          <w:rFonts w:hint="eastAsia" w:ascii="CESI仿宋-GB2312" w:hAnsi="CESI仿宋-GB2312" w:eastAsia="CESI仿宋-GB2312" w:cs="CESI仿宋-GB2312"/>
          <w:b w:val="0"/>
          <w:bCs w:val="0"/>
          <w:lang w:eastAsia="zh-CN"/>
        </w:rPr>
        <w:t>畜禽肉及副产品</w:t>
      </w:r>
      <w:r>
        <w:rPr>
          <w:rFonts w:hint="eastAsia" w:ascii="CESI仿宋-GB2312" w:hAnsi="CESI仿宋-GB2312" w:eastAsia="CESI仿宋-GB2312" w:cs="CESI仿宋-GB2312"/>
          <w:b w:val="0"/>
          <w:bCs w:val="0"/>
        </w:rPr>
        <w:t>抽检项目为</w:t>
      </w:r>
      <w:r>
        <w:rPr>
          <w:rFonts w:hint="eastAsia" w:ascii="CESI仿宋-GB2312" w:hAnsi="CESI仿宋-GB2312" w:eastAsia="CESI仿宋-GB2312" w:cs="CESI仿宋-GB2312"/>
          <w:b w:val="0"/>
          <w:bCs w:val="0"/>
          <w:sz w:val="32"/>
          <w:szCs w:val="32"/>
          <w:lang w:val="en-US" w:eastAsia="zh-CN"/>
        </w:rPr>
        <w:t>磺胺类(总量)</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克伦特罗</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恩诺沙星</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呋喃唑酮代谢物</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呋喃西林代谢物</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氯霉素</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氟苯尼考</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五氯酚酸钠(以五氯酚计)</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莱克多巴胺</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沙丁胺醇</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林可霉素</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土霉素/金霉素/四环素(组合含量)</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甲氧苄啶</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土霉素</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镉(以Cd计)</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挥发性盐基氮</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替米考星</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呋喃妥因代谢物</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呋喃它酮代谢物</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多西环素</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地塞米松</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甲硝唑</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喹乙醇</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氯丙嗪</w:t>
      </w:r>
      <w:r>
        <w:rPr>
          <w:rFonts w:hint="eastAsia" w:ascii="CESI仿宋-GB2312" w:hAnsi="CESI仿宋-GB2312" w:eastAsia="CESI仿宋-GB2312" w:cs="CESI仿宋-GB2312"/>
          <w:b w:val="0"/>
          <w:bCs w:val="0"/>
        </w:rPr>
        <w:t>。</w:t>
      </w:r>
    </w:p>
    <w:p>
      <w:pPr>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CESI仿宋-GB2312" w:hAnsi="CESI仿宋-GB2312" w:eastAsia="CESI仿宋-GB2312" w:cs="CESI仿宋-GB2312"/>
          <w:b w:val="0"/>
          <w:bCs w:val="0"/>
        </w:rPr>
      </w:pPr>
      <w:r>
        <w:rPr>
          <w:rFonts w:hint="eastAsia" w:ascii="CESI仿宋-GB2312" w:hAnsi="CESI仿宋-GB2312" w:eastAsia="CESI仿宋-GB2312" w:cs="CESI仿宋-GB2312"/>
          <w:b w:val="0"/>
          <w:bCs w:val="0"/>
          <w:sz w:val="32"/>
          <w:szCs w:val="32"/>
          <w:lang w:val="en-US" w:eastAsia="zh-CN"/>
        </w:rPr>
        <w:t>蔬菜</w:t>
      </w:r>
      <w:r>
        <w:rPr>
          <w:rFonts w:hint="eastAsia" w:ascii="CESI仿宋-GB2312" w:hAnsi="CESI仿宋-GB2312" w:eastAsia="CESI仿宋-GB2312" w:cs="CESI仿宋-GB2312"/>
          <w:b w:val="0"/>
          <w:bCs w:val="0"/>
        </w:rPr>
        <w:t>抽检项目为</w:t>
      </w:r>
      <w:r>
        <w:rPr>
          <w:rFonts w:hint="eastAsia" w:ascii="CESI仿宋-GB2312" w:hAnsi="CESI仿宋-GB2312" w:eastAsia="CESI仿宋-GB2312" w:cs="CESI仿宋-GB2312"/>
          <w:b w:val="0"/>
          <w:bCs w:val="0"/>
          <w:sz w:val="32"/>
          <w:szCs w:val="32"/>
          <w:lang w:val="en-US" w:eastAsia="zh-CN"/>
        </w:rPr>
        <w:t>倍硫磷</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甲氨基阿维菌素苯甲酸盐</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克百威</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噻虫嗪</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噻虫胺</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水胺硫磷</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氧乐果</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灭蝇胺</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阿维菌素</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啶虫脒</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氟虫腈</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甲胺磷</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甲拌磷</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甲基异柳磷</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氯氟氰菊酯和高效氯氟氰菊酯</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氯氰菊酯和高效氯氰菊酯</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氯唑磷</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灭多威</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三唑磷</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乙酰甲胺磷</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吡虫啉</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多菌灵</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毒死蜱</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哒螨灵</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敌敌畏</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腐霉利</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乙螨唑</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异丙威</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铅(以Pb计)</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镉(以Cd计)</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百菌清</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苯醚甲环唑</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二甲戊灵</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腈菌唑</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乐果</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马拉硫磷</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辛硫磷</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烯酰吗啉</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溴氰菊酯</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甲氰菊酯</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霜霉威和霜霉威盐酸盐</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4-氯苯氧乙酸钠(以4-氯苯氧乙酸计)</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6-苄基腺嘌呤(6-BA)</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总汞(以Hg计)</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亚硫酸盐(以SO₂计)</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铬(以Cr计)</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六六六</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涕灭威</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吡唑醚菌酯</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丙溴磷</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联苯菊酯</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杀扑磷</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异菌脲</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灭线磷</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lang w:val="en-US" w:eastAsia="zh-CN"/>
        </w:rPr>
        <w:t>总砷(以As计)</w:t>
      </w:r>
      <w:r>
        <w:rPr>
          <w:rFonts w:hint="eastAsia" w:ascii="CESI仿宋-GB2312" w:hAnsi="CESI仿宋-GB2312" w:eastAsia="CESI仿宋-GB2312" w:cs="CESI仿宋-GB2312"/>
          <w:b w:val="0"/>
          <w:bCs w:val="0"/>
        </w:rPr>
        <w:t>。</w:t>
      </w:r>
    </w:p>
    <w:p>
      <w:pPr>
        <w:pageBreakBefore w:val="0"/>
        <w:widowControl w:val="0"/>
        <w:kinsoku/>
        <w:wordWrap/>
        <w:overflowPunct/>
        <w:topLinePunct w:val="0"/>
        <w:autoSpaceDE/>
        <w:autoSpaceDN/>
        <w:bidi w:val="0"/>
        <w:adjustRightInd w:val="0"/>
        <w:snapToGrid w:val="0"/>
        <w:spacing w:line="560" w:lineRule="exact"/>
        <w:textAlignment w:val="auto"/>
        <w:rPr>
          <w:rFonts w:hint="eastAsia" w:ascii="CESI仿宋-GB2312" w:hAnsi="CESI仿宋-GB2312" w:eastAsia="CESI仿宋-GB2312" w:cs="CESI仿宋-GB2312"/>
          <w:b w:val="0"/>
          <w:bCs w:val="0"/>
          <w:lang w:eastAsia="zh-CN"/>
        </w:rPr>
      </w:pPr>
    </w:p>
    <w:sectPr>
      <w:footerReference r:id="rId5" w:type="default"/>
      <w:pgSz w:w="11906" w:h="16838"/>
      <w:pgMar w:top="1440" w:right="1800" w:bottom="1440" w:left="1800" w:header="851" w:footer="850"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 w:name="CESI小标宋-GB2312">
    <w:panose1 w:val="02000500000000000000"/>
    <w:charset w:val="86"/>
    <w:family w:val="auto"/>
    <w:pitch w:val="default"/>
    <w:sig w:usb0="800002AF" w:usb1="084F6CF8" w:usb2="00000010" w:usb3="00000000" w:csb0="0004000F" w:csb1="00000000"/>
  </w:font>
  <w:font w:name="CESI仿宋-GB2312">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2 -</w:t>
    </w:r>
    <w:r>
      <w:rPr>
        <w:rFonts w:hint="eastAsia" w:ascii="仿宋_GB2312" w:eastAsia="仿宋_GB2312"/>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688C3D"/>
    <w:multiLevelType w:val="singleLevel"/>
    <w:tmpl w:val="09688C3D"/>
    <w:lvl w:ilvl="0" w:tentative="0">
      <w:start w:val="1"/>
      <w:numFmt w:val="decimal"/>
      <w:suff w:val="nothing"/>
      <w:lvlText w:val="%1．"/>
      <w:lvlJc w:val="left"/>
      <w:pPr>
        <w:ind w:left="0" w:firstLine="400"/>
      </w:pPr>
      <w:rPr>
        <w:rFonts w:hint="default"/>
      </w:rPr>
    </w:lvl>
  </w:abstractNum>
  <w:abstractNum w:abstractNumId="1">
    <w:nsid w:val="7EAFB6A8"/>
    <w:multiLevelType w:val="singleLevel"/>
    <w:tmpl w:val="7EAFB6A8"/>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kzMTU2ZWQ1ZTdjZDBlMDY5ZTZlOTZhOGZiNjg2ZjQifQ=="/>
  </w:docVars>
  <w:rsids>
    <w:rsidRoot w:val="006C323B"/>
    <w:rsid w:val="00156626"/>
    <w:rsid w:val="00260D3E"/>
    <w:rsid w:val="002A1B81"/>
    <w:rsid w:val="002E0BCF"/>
    <w:rsid w:val="0030011C"/>
    <w:rsid w:val="003B26F5"/>
    <w:rsid w:val="004662EE"/>
    <w:rsid w:val="005B56D8"/>
    <w:rsid w:val="005C521A"/>
    <w:rsid w:val="00607314"/>
    <w:rsid w:val="00624E64"/>
    <w:rsid w:val="006701C1"/>
    <w:rsid w:val="006C323B"/>
    <w:rsid w:val="006F066D"/>
    <w:rsid w:val="0089085F"/>
    <w:rsid w:val="008B71C2"/>
    <w:rsid w:val="00A01086"/>
    <w:rsid w:val="00A452FD"/>
    <w:rsid w:val="00A6752A"/>
    <w:rsid w:val="00CF0F67"/>
    <w:rsid w:val="00D418D6"/>
    <w:rsid w:val="00E23AE1"/>
    <w:rsid w:val="00F15EE1"/>
    <w:rsid w:val="00F420E1"/>
    <w:rsid w:val="03364EAD"/>
    <w:rsid w:val="05D0180D"/>
    <w:rsid w:val="0C957DCB"/>
    <w:rsid w:val="10700A7D"/>
    <w:rsid w:val="12D72A26"/>
    <w:rsid w:val="16C77004"/>
    <w:rsid w:val="19397563"/>
    <w:rsid w:val="1C4C4312"/>
    <w:rsid w:val="1CAB580E"/>
    <w:rsid w:val="1F7F0ECF"/>
    <w:rsid w:val="1FCD21D2"/>
    <w:rsid w:val="20E030CE"/>
    <w:rsid w:val="27743E5C"/>
    <w:rsid w:val="2B9B01A2"/>
    <w:rsid w:val="2C8C18BB"/>
    <w:rsid w:val="2D794A7D"/>
    <w:rsid w:val="2E914AB2"/>
    <w:rsid w:val="2F4D2E80"/>
    <w:rsid w:val="3A4C2603"/>
    <w:rsid w:val="3C261771"/>
    <w:rsid w:val="43902091"/>
    <w:rsid w:val="4404150A"/>
    <w:rsid w:val="4912092E"/>
    <w:rsid w:val="50EB3365"/>
    <w:rsid w:val="535C6782"/>
    <w:rsid w:val="537D6959"/>
    <w:rsid w:val="55A41C2D"/>
    <w:rsid w:val="58782861"/>
    <w:rsid w:val="5A555858"/>
    <w:rsid w:val="60CD0BB3"/>
    <w:rsid w:val="60DD3FAD"/>
    <w:rsid w:val="6448127E"/>
    <w:rsid w:val="64C34EDF"/>
    <w:rsid w:val="66301548"/>
    <w:rsid w:val="66D4466A"/>
    <w:rsid w:val="6A975347"/>
    <w:rsid w:val="6F64598D"/>
    <w:rsid w:val="72B81B33"/>
    <w:rsid w:val="72F578EE"/>
    <w:rsid w:val="7CD25C18"/>
    <w:rsid w:val="7CF3311A"/>
    <w:rsid w:val="7D1B4375"/>
    <w:rsid w:val="D7D11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643" w:firstLineChars="200"/>
      <w:jc w:val="both"/>
    </w:pPr>
    <w:rPr>
      <w:rFonts w:ascii="仿宋" w:hAnsi="仿宋" w:eastAsia="仿宋" w:cs="黑体"/>
      <w:kern w:val="2"/>
      <w:sz w:val="32"/>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3"/>
    <w:basedOn w:val="1"/>
    <w:next w:val="1"/>
    <w:unhideWhenUsed/>
    <w:qFormat/>
    <w:uiPriority w:val="0"/>
    <w:pPr>
      <w:keepNext/>
      <w:keepLines/>
      <w:spacing w:before="50" w:beforeLines="50" w:beforeAutospacing="0" w:afterLines="0" w:afterAutospacing="0" w:line="360" w:lineRule="auto"/>
      <w:outlineLvl w:val="2"/>
    </w:pPr>
    <w:rPr>
      <w:b/>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paragraph" w:styleId="6">
    <w:name w:val="Balloon Text"/>
    <w:basedOn w:val="1"/>
    <w:link w:val="16"/>
    <w:qFormat/>
    <w:uiPriority w:val="0"/>
    <w:rPr>
      <w:sz w:val="18"/>
      <w:szCs w:val="18"/>
    </w:rPr>
  </w:style>
  <w:style w:type="paragraph" w:styleId="7">
    <w:name w:val="footer"/>
    <w:basedOn w:val="1"/>
    <w:link w:val="11"/>
    <w:qFormat/>
    <w:uiPriority w:val="99"/>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customStyle="1" w:styleId="11">
    <w:name w:val="页脚 字符"/>
    <w:link w:val="7"/>
    <w:qFormat/>
    <w:uiPriority w:val="99"/>
    <w:rPr>
      <w:sz w:val="18"/>
      <w:szCs w:val="18"/>
    </w:rPr>
  </w:style>
  <w:style w:type="character" w:customStyle="1" w:styleId="12">
    <w:name w:val="页眉 字符"/>
    <w:link w:val="8"/>
    <w:semiHidden/>
    <w:qFormat/>
    <w:uiPriority w:val="0"/>
    <w:rPr>
      <w:sz w:val="18"/>
      <w:szCs w:val="18"/>
    </w:rPr>
  </w:style>
  <w:style w:type="paragraph" w:customStyle="1" w:styleId="13">
    <w:name w:val="列出段落1"/>
    <w:basedOn w:val="1"/>
    <w:qFormat/>
    <w:uiPriority w:val="0"/>
    <w:pPr>
      <w:ind w:firstLine="420" w:firstLineChars="200"/>
    </w:pPr>
  </w:style>
  <w:style w:type="character" w:customStyle="1" w:styleId="14">
    <w:name w:val="font11"/>
    <w:qFormat/>
    <w:uiPriority w:val="0"/>
    <w:rPr>
      <w:rFonts w:hint="default" w:ascii="Calibri" w:hAnsi="Calibri" w:cs="Calibri"/>
      <w:color w:val="000000"/>
      <w:sz w:val="22"/>
      <w:szCs w:val="22"/>
      <w:u w:val="none"/>
    </w:rPr>
  </w:style>
  <w:style w:type="character" w:customStyle="1" w:styleId="15">
    <w:name w:val="font01"/>
    <w:qFormat/>
    <w:uiPriority w:val="0"/>
    <w:rPr>
      <w:rFonts w:hint="eastAsia" w:ascii="宋体" w:hAnsi="宋体" w:eastAsia="宋体" w:cs="宋体"/>
      <w:color w:val="000000"/>
      <w:sz w:val="22"/>
      <w:szCs w:val="22"/>
      <w:u w:val="none"/>
    </w:rPr>
  </w:style>
  <w:style w:type="character" w:customStyle="1" w:styleId="16">
    <w:name w:val="批注框文本 字符"/>
    <w:basedOn w:val="10"/>
    <w:link w:val="6"/>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768</Words>
  <Characters>843</Characters>
  <Lines>14</Lines>
  <Paragraphs>4</Paragraphs>
  <TotalTime>0</TotalTime>
  <ScaleCrop>false</ScaleCrop>
  <LinksUpToDate>false</LinksUpToDate>
  <CharactersWithSpaces>852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2019-11-12T11:00:00Z</dcterms:created>
  <dc:creator>吕蓓</dc:creator>
  <cp:lastModifiedBy>uos</cp:lastModifiedBy>
  <cp:lastPrinted>2022-09-06T15:32:54Z</cp:lastPrinted>
  <dcterms:modified xsi:type="dcterms:W3CDTF">2022-09-06T15:33:03Z</dcterms:modified>
  <dc:title>Administrator</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A31FCD5D0BC44C3BBDB670B6CCA97128</vt:lpwstr>
  </property>
</Properties>
</file>