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一、乳制品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25191-2010《食品安全国家标准 调制乳》、GB 25190-2010《食品安全国家标准 灭菌乳》、GB 19302-2010《食品安全国家标准 发酵乳》、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5009.5-2016《食品安全国家标准 食品中蛋白质的测定》(第一法 凯氏定氮法)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 5009.239-2016《食品安全国家标准 食品酸度的测定》、 GB 19644-2010《食品安全国家标准 乳粉》、GB 4789.2-2016《食品安全国家标准 食品微生物学检验 菌落总数测定》、GB 4789.3-2016《食品安全国家标准 食品微生物学检验 大肠菌群计数》(第二法 大肠菌群平板计数法)、GB 4789.26-2013《食品安全国家标准 食品微生物学检验》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等标准和指标的要求</w:t>
      </w:r>
      <w:r>
        <w:rPr>
          <w:rStyle w:val="16"/>
          <w:rFonts w:hint="eastAsia" w:ascii="仿宋" w:hAnsi="仿宋" w:eastAsia="仿宋" w:cs="仿宋"/>
          <w:b w:val="0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（二）检测项目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灭菌乳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检测项目为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蛋白质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2、调制乳检测项目为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蛋白质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发酵乳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检测项目为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蛋白质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4、乳粉检测项目为蛋白质、菌落总数、大肠菌群。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饮料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、检验依据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为GB 7101-2015《食品安全国家标准 饮料》、GB 2762-2017《食品安全国家标准 食品中污染物限量》、GB 2760-2014《食品安全国家标准 食品添加剂使用标准》、GB 5009.5-2016《食品安全国家标准 食品中蛋白质的测定》、GB 5009.12-2017《食品安全国家标准 食品中铅的测定》、GB 5009.28-2016《食品安全国家标准 食品中苯甲酸、山梨酸和糖精钠的测定 》(第一法 液相色谱法)、GB 4789.3-2016《食品安全国家标准 食品微生物学检验 大肠菌群计数》(第二法 大肠菌群平板计数法)、GB 4789.2-2016《食品安全国家标准 食品微生物学检验 菌落总数测定》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等标准和指标的要求</w:t>
      </w:r>
      <w:r>
        <w:rPr>
          <w:rStyle w:val="16"/>
          <w:rFonts w:hint="eastAsia" w:ascii="仿宋" w:hAnsi="仿宋" w:eastAsia="仿宋" w:cs="仿宋"/>
          <w:b w:val="0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固体饮料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检测项目为蛋白质、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铅(以Pb计)、苯甲酸及其钠盐(以苯甲酸计)、山梨酸及其钾盐（以山梨酸计）、糖精钠(以糖精计)、菌落总数、大肠菌群。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检验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依据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10379-2012《速冻调制食品》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 19295-2021《食品安全国家标准 速冻面米与调制食品》、GB 2762-2017《食品安全国家标准 食品中污染物限量》、GB 2760-2014《食品安全国家标准 食品添加剂使用标准》、GB 5009.12-2017《食品安全国家标准 食品中铅的测定》、GB 5009.28-2016《食品安全国家标准 食品中苯甲酸、山梨酸和糖精钠的测定 》(第一法 液相色谱法)、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等标准和指标的要求</w:t>
      </w:r>
      <w:r>
        <w:rPr>
          <w:rStyle w:val="16"/>
          <w:rFonts w:hint="eastAsia" w:ascii="仿宋" w:hAnsi="仿宋" w:eastAsia="仿宋" w:cs="仿宋"/>
          <w:b w:val="0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（二）检测项目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速冻面米制品中的水饺、元宵、馄饨等生制品检测项目为铅（以Pb计）、糖精钠（以糖精计）。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速冻面米制品中的包子、馒头等熟制品检测项目为过氧化值（以脂肪计）、糖精钠（以糖精计）、沙门氏菌、金黄色葡萄球菌。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（一）检验依据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为GB14884-2016《食品安全国家标准 蜜饯》、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2762-2017《食品安全国家标准 食品中污染物限量》、GB 2760-2014《食品安全国家标准 食品添加剂使用标准》GB 5009.12-2017《食品安全国家标准 食品中铅的测定》、GB 5009.28-2016《食品安全国家标准 食品中苯甲酸、山梨酸和糖精钠的测定 》(第一法 液相色谱法)、GB 4789.3-2016《食品安全国家标准 食品微生物学检验 大肠菌群计数》(第二法 大肠菌群平板计数法)、GB 4789.2-2016《食品安全国家标准 食品微生物学检验 菌落总数测定》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等标准和指标的要求</w:t>
      </w:r>
      <w:r>
        <w:rPr>
          <w:rStyle w:val="16"/>
          <w:rFonts w:hint="eastAsia" w:ascii="仿宋" w:hAnsi="仿宋" w:eastAsia="仿宋" w:cs="仿宋"/>
          <w:b w:val="0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（二）检测项目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1、蜜饯亚类中的蜜饯类、凉果类、果脯类、话化类、果糕类，检测项目为铅(以Pb计)、苯甲酸及其钠盐(以苯甲酸计)、山梨酸及其钾盐（以山梨酸计）、糖精钠(以糖精计)、菌落总数、大肠菌群。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水果干制品检验项目为苯甲酸及其钠盐(以苯甲酸计)、山梨酸及其钾盐（以山梨酸计）、菌落总数、大肠菌群、铅（以Pb计）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糕点类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（一）检验依据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为GB 7099-2015《食品安全国家标准 糕点、面包》、GB/T19855-2015《月饼》、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2762-2017《食品安全国家标准 食品中污染物限量》、GB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5009.229-2016《食品安全国家标准 食品中酸价的测定》(第二法 冷溶剂自动电位滴定法)、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5009.12-2017《食品安全国家标准 食品中铅的测定》、GB 5009.28-2016《食品安全国家标准 食品中苯甲酸、山梨酸和糖精钠的测定 》(第一法 液相色谱法)、GB 4789.3-2016《食品安全国家标准 食品微生物学检验 大肠菌群计数》(第二法 大肠菌群平板计数法)、GB 4789.2-2016《食品安全国家标准 食品微生物学检验 菌落总数测定》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等标准和指标的要求</w:t>
      </w:r>
      <w:r>
        <w:rPr>
          <w:rStyle w:val="16"/>
          <w:rFonts w:hint="eastAsia" w:ascii="仿宋" w:hAnsi="仿宋" w:eastAsia="仿宋" w:cs="仿宋"/>
          <w:b w:val="0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（二）检测项目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1、糕点类检测项目为酸价（以脂肪计）、铅（以Pb计）、苯甲酸及其钠盐（以苯甲酸计）、山梨酸及其钾盐(以山梨酸计)、糖精钠(以糖精计)、菌落总数、大肠菌群。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月饼检验项目为酸价（以脂肪计）、过氧化值（以脂肪计）、苯甲酸及其钠盐（以苯甲酸计）、山梨酸及其钾盐(以山梨酸计)、糖精钠(以糖精计)、菌落总数、大肠菌群、沙门氏菌、金黄色葡萄球菌等。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（一）检测依据为GB 2712-2014《食品安全国家标准 豆制品》、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2762-2017《食品安全国家标准 食品中污染物限量》、GB 2760-2014《食品安全国家标准 食品添加剂使用标准》、GB 5009.12-2017《食品安全国家标准 食品中铅的测定》、GB 5009.28-2016《食品安全国家标准 食品中苯甲酸、山梨酸和糖精钠的测定 》(第一法 液相色谱法)、GB 4789.3-2016《食品安全国家标准 食品微生物学检验 大肠菌群计数》(第二法 大肠菌群平板计数法)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等标准和指标的要求</w:t>
      </w:r>
      <w:r>
        <w:rPr>
          <w:rStyle w:val="16"/>
          <w:rFonts w:hint="eastAsia" w:ascii="仿宋" w:hAnsi="仿宋" w:eastAsia="仿宋" w:cs="仿宋"/>
          <w:b w:val="0"/>
          <w:bCs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发酵性豆制品中的腐乳、豆豉、纳豆等检测项目为苯甲酸及其钠盐（以苯甲酸计）、山梨酸及其钾盐（以山梨酸计）、糖精钠（以糖精计）、大肠菌群、铅（以Pb计）。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非发酵性豆制品包含豆干、豆腐、豆皮等检测项目为苯甲酸及其钠盐（以苯甲酸计）、山梨酸及其钾盐（以山梨酸计）、糖精钠（以糖精计）、大肠菌群、铅（以Pb计）；腐竹、油皮及其再制品检测项目为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其他豆制品检验项目为：苯甲酸及其钠盐（以苯甲酸计）、山梨酸及其钾盐（以山梨酸计）、糖精钠（以糖精计）、大肠菌群。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检测依据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为GB 17400-2015《食品安全国家标准 方便面》、GB 19640-2016《食品安全国家标准 冲调谷物制品》、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2760-2014《食品安全国家标准 食品添加剂使用标准》、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5009.229-2016《食品安全国家标准 食品中酸价的测定》(第二法 冷溶剂自动电位滴定法)、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5009.28-2016《食品安全国家标准 食品中苯甲酸、山梨酸和糖精钠的测定 》(第一法 液相色谱法)、GB 4789.3-2016《食品安全国家标准 食品微生物学检验 大肠菌群计数》(第二法 大肠菌群平板计数法)、GB 4789.2-2016《食品安全国家标准 食品微生物学检验 菌落总数测定》等标准。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方便面检测项目为苯甲酸及其钠盐（以苯甲酸计）、山梨酸及其钾盐(以山梨酸计)、糖精钠(以糖精计)、菌落总数、大肠菌群、沙门氏菌、金黄色葡萄球菌、酸价（以脂肪计）、过氧化值（以脂肪计）。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其它方便食品检测项目为苯甲酸及其钠盐（以苯甲酸计）、山梨酸及其钾盐(以山梨酸计)、糖精钠(以糖精计)、菌落总数。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调味面制品检测项目为苯甲酸及其钠盐（以苯甲酸计）、山梨酸及其钾盐(以山梨酸计)、糖精钠(以糖精计)、菌落总数、大肠菌群、沙门氏菌、金黄色葡萄球菌、酸价（以脂肪计）、过氧化值（以脂肪计）。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检验依据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为GB/T 23597-2009《干紫菜》、GB 2762-2017《食品安全国家标准 食品中污染物限量》、GB 19643-2016《食品安全国家标准 藻类及其制品》、GB 19643-2005《藻类制品卫生标准》、GB 7098-2015《食品安全国家标准 罐头食品》、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5009.28-2016《食品安全国家标准 食品中苯甲酸、山梨酸和糖精钠的测定 》(第一法 液相色谱法)、GB 4789.3-2016《食品安全国家标准 食品微生物学检验 大肠菌群计数》(第二法 大肠菌群平板计数法)、GB 4789.2-2016《食品安全国家标准 食品微生物学检验 菌落总数测定》、GB 5009.12-2017《食品安全国家标准 食品中铅的测定》等标准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干制水产制品检测项目为：菌落总数、大肠菌群、沙门氏菌、铅（以Pb计）。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（一）检验依据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为GB 17401-2014《食品安全国家标准 膨化食品》、GB 2760-2014《食品安全国家标准 食品添加剂使用标准》、GB 29921-2013《食品安全国家标准 食品中致病菌限量》、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5009.28-2016《食品安全国家标准 食品中苯甲酸、山梨酸和糖精钠的测定 》(第一法 液相色谱法)、GB 4789.3-2016《食品安全国家标准 食品微生物学检验 大肠菌群计数》(第二法 大肠菌群平板计数法)、GB 4789.2-2016《食品安全国家标准 食品微生物学检验 菌落总数测定》、GB 5009.227-2016《食品安全国家标准 食品中过氧化值的测定》(第一法 滴定法)、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5009.229-2016《食品安全国家标准 食品中酸价的测定》(第二法 冷溶剂自动电位滴定法)等标准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（二）检验项目为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苯甲酸及其钠盐（以苯甲酸计）、山梨酸及其钾盐(以山梨酸计)、糖精钠(以糖精计)、菌落总数、大肠菌群、沙门氏菌、金黄色葡萄球菌、酸价（以脂肪计）、过氧化值（以脂肪计）。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（一）检验依据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为GB 2749-2015《食品安全国家标准 蛋与蛋制品》、GB 2762-2017《食品安全国家标准 食品中污染物限量》、GB 2760-2014《食品安全国家标准 食品添加剂使用标准》、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5009.28-2016《食品安全国家标准 食品中苯甲酸、山梨酸和糖精钠的测定 》(第一法 液相色谱法)、GB 5009.12-2017《食品安全国家标准 食品中铅的测定》等标准。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1、再制蛋检验项目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为苯甲酸及其钠盐（以苯甲酸计）、山梨酸及其钾盐(以山梨酸计)、商业无菌、铅（以Pb计）。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2、其它蛋类检验项目为检测项目为苯甲酸及其钠盐（以苯甲酸计）、山梨酸及其钾盐(以山梨酸计)、铅（以Pb计）、菌落总数、大肠菌群、沙门氏菌。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十一、饼干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（一）检验依据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为GB 7100-2015《食品安全国家标准 饼干》、GB 2760-2014《食品安全国家标准 食品添加剂使用标准》、GB 29921-2013《食品安全国家标准 食品中致病菌限量》、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5009.28-2016《食品安全国家标准 食品中苯甲酸、山梨酸和糖精钠的测定 》(第一法 液相色谱法)、GB 4789.3-2016《食品安全国家标准 食品微生物学检验 大肠菌群计数》(第二法 大肠菌群平板计数法)、GB 4789.2-2016《食品安全国家标准 食品微生物学检验 菌落总数测定》、GB 5009.227-2016《食品安全国家标准 食品中过氧化值的测定》(第一法 滴定法)、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5009.229-2016《食品安全国家标准 食品中酸价的测定》(第二法 冷溶剂自动电位滴定法)等标准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检验项目为苯甲酸及其钠盐（以苯甲酸计）、山梨酸及其钾盐(以山梨酸计)、菌落总数、大肠菌群、沙门氏菌、金黄色葡萄球菌、酸价（以脂肪计）、过氧化值（以脂肪计）。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0070C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2355F"/>
    <w:multiLevelType w:val="singleLevel"/>
    <w:tmpl w:val="83A235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9D0DFD"/>
    <w:multiLevelType w:val="singleLevel"/>
    <w:tmpl w:val="B29D0DF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860E852"/>
    <w:multiLevelType w:val="singleLevel"/>
    <w:tmpl w:val="B860E85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CC76983"/>
    <w:multiLevelType w:val="singleLevel"/>
    <w:tmpl w:val="CCC769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488DEEA"/>
    <w:multiLevelType w:val="singleLevel"/>
    <w:tmpl w:val="D488DEEA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5">
    <w:nsid w:val="3619622E"/>
    <w:multiLevelType w:val="singleLevel"/>
    <w:tmpl w:val="361962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jM2IxYjJmNjM1YjU1NzZkZjYxOThkNjFkNGI0M2QifQ=="/>
  </w:docVars>
  <w:rsids>
    <w:rsidRoot w:val="006C323B"/>
    <w:rsid w:val="0001488C"/>
    <w:rsid w:val="00156626"/>
    <w:rsid w:val="00260D3E"/>
    <w:rsid w:val="002A1B81"/>
    <w:rsid w:val="002E0BCF"/>
    <w:rsid w:val="0030011C"/>
    <w:rsid w:val="003B26F5"/>
    <w:rsid w:val="003B3922"/>
    <w:rsid w:val="004662EE"/>
    <w:rsid w:val="004B0F0F"/>
    <w:rsid w:val="005B56D8"/>
    <w:rsid w:val="005C521A"/>
    <w:rsid w:val="00607314"/>
    <w:rsid w:val="00624E64"/>
    <w:rsid w:val="006701C1"/>
    <w:rsid w:val="006839C7"/>
    <w:rsid w:val="006C323B"/>
    <w:rsid w:val="006D1221"/>
    <w:rsid w:val="006F066D"/>
    <w:rsid w:val="0083559E"/>
    <w:rsid w:val="0089085F"/>
    <w:rsid w:val="008B71C2"/>
    <w:rsid w:val="00A01086"/>
    <w:rsid w:val="00A25476"/>
    <w:rsid w:val="00A452FD"/>
    <w:rsid w:val="00A6752A"/>
    <w:rsid w:val="00A930E6"/>
    <w:rsid w:val="00CF0F67"/>
    <w:rsid w:val="00D418D6"/>
    <w:rsid w:val="00E23AE1"/>
    <w:rsid w:val="00F15EE1"/>
    <w:rsid w:val="00F420E1"/>
    <w:rsid w:val="03364EAD"/>
    <w:rsid w:val="05D0180D"/>
    <w:rsid w:val="0C957DCB"/>
    <w:rsid w:val="0FA27BE3"/>
    <w:rsid w:val="12D72A26"/>
    <w:rsid w:val="16C77004"/>
    <w:rsid w:val="1C4C4312"/>
    <w:rsid w:val="1CAB580E"/>
    <w:rsid w:val="1F7F0ECF"/>
    <w:rsid w:val="2B9B01A2"/>
    <w:rsid w:val="2C8C18BB"/>
    <w:rsid w:val="2E914AB2"/>
    <w:rsid w:val="2F4D2E80"/>
    <w:rsid w:val="329D52CA"/>
    <w:rsid w:val="360F6273"/>
    <w:rsid w:val="38716A91"/>
    <w:rsid w:val="3A4C2603"/>
    <w:rsid w:val="3DB5A0B2"/>
    <w:rsid w:val="4404150A"/>
    <w:rsid w:val="4912092E"/>
    <w:rsid w:val="506339DC"/>
    <w:rsid w:val="50EB3365"/>
    <w:rsid w:val="516A54F5"/>
    <w:rsid w:val="535C6782"/>
    <w:rsid w:val="5A555858"/>
    <w:rsid w:val="5C6018AE"/>
    <w:rsid w:val="60CD0BB3"/>
    <w:rsid w:val="60DD3FAD"/>
    <w:rsid w:val="6448127E"/>
    <w:rsid w:val="64C34EDF"/>
    <w:rsid w:val="66301548"/>
    <w:rsid w:val="66867106"/>
    <w:rsid w:val="66D4466A"/>
    <w:rsid w:val="6A975347"/>
    <w:rsid w:val="6F64598D"/>
    <w:rsid w:val="72F578EE"/>
    <w:rsid w:val="7CD25C18"/>
    <w:rsid w:val="7CF3311A"/>
    <w:rsid w:val="7D1B4375"/>
    <w:rsid w:val="9D7D44D5"/>
    <w:rsid w:val="FF7F9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uiPriority w:val="99"/>
    <w:rPr>
      <w:sz w:val="18"/>
      <w:szCs w:val="18"/>
    </w:rPr>
  </w:style>
  <w:style w:type="character" w:customStyle="1" w:styleId="10">
    <w:name w:val="页眉 字符"/>
    <w:link w:val="6"/>
    <w:semiHidden/>
    <w:qFormat/>
    <w:uiPriority w:val="0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font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批注框文本 字符"/>
    <w:basedOn w:val="8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标题 1 字符"/>
    <w:link w:val="2"/>
    <w:qFormat/>
    <w:uiPriority w:val="0"/>
    <w:rPr>
      <w:b/>
      <w:kern w:val="44"/>
      <w:sz w:val="44"/>
    </w:rPr>
  </w:style>
  <w:style w:type="character" w:customStyle="1" w:styleId="16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4518</Words>
  <Characters>5564</Characters>
  <Lines>24</Lines>
  <Paragraphs>6</Paragraphs>
  <TotalTime>4</TotalTime>
  <ScaleCrop>false</ScaleCrop>
  <LinksUpToDate>false</LinksUpToDate>
  <CharactersWithSpaces>5809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2021-12-25T17:40:00Z</dcterms:created>
  <dc:creator>吕蓓</dc:creator>
  <cp:lastModifiedBy>uos</cp:lastModifiedBy>
  <cp:lastPrinted>2022-08-04T09:25:23Z</cp:lastPrinted>
  <dcterms:modified xsi:type="dcterms:W3CDTF">2022-08-04T09:25:29Z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78B31D1ADF474661B936929EA41AFD45</vt:lpwstr>
  </property>
</Properties>
</file>