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A90E" w14:textId="77777777" w:rsidR="002D3060" w:rsidRDefault="0073133B">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7C923EE6" w14:textId="77777777" w:rsidR="002D3060" w:rsidRDefault="0073133B" w:rsidP="00387E30">
      <w:pPr>
        <w:spacing w:beforeLines="50" w:before="156" w:afterLines="50" w:after="156" w:line="360" w:lineRule="auto"/>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0E0C83D6" w14:textId="77777777" w:rsidR="002D3060" w:rsidRDefault="0073133B">
      <w:pPr>
        <w:spacing w:line="60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一、粮食加工品</w:t>
      </w:r>
    </w:p>
    <w:p w14:paraId="112A72A0"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47C1B5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t>31607—2021</w:t>
      </w:r>
      <w:r>
        <w:rPr>
          <w:rFonts w:ascii="Times New Roman" w:eastAsia="仿宋_GB2312" w:hAnsi="Times New Roman" w:cs="Times New Roman"/>
          <w:sz w:val="32"/>
          <w:szCs w:val="32"/>
        </w:rPr>
        <w:t>）、《卫生部等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部门关于撤销食品添加剂过氧化苯甲酰、过氧化钙的公告》（卫生部公告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号）等标准及产品明示标准和质量要求。</w:t>
      </w:r>
    </w:p>
    <w:p w14:paraId="4831FA27"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056755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芘、玉米赤霉烯酮、脱氧雪腐镰刀菌烯醇、赭曲霉毒素、黄曲霉毒素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4FDFABBF"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52CC99E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0E37F7E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谷物加工品：铅（以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w:t>
      </w:r>
      <w:r>
        <w:rPr>
          <w:rFonts w:ascii="Times New Roman" w:eastAsia="仿宋_GB2312" w:hAnsi="Times New Roman" w:cs="Times New Roman"/>
          <w:sz w:val="32"/>
          <w:szCs w:val="32"/>
        </w:rPr>
        <w:lastRenderedPageBreak/>
        <w:t>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142DFE0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玉米粉（片、渣）：黄曲霉毒素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、赭曲霉毒素、玉米赤霉烯酮。</w:t>
      </w:r>
    </w:p>
    <w:p w14:paraId="4376693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米粉：铅（以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30AE6E2B"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其他谷物碾磨加工品：铅（以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计）、赭曲霉毒素（限燕麦片、豆粉类检测）。</w:t>
      </w:r>
    </w:p>
    <w:p w14:paraId="2EC53AA5"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生湿面制品：铅（以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w:t>
      </w:r>
    </w:p>
    <w:p w14:paraId="5F67894E"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发酵面制品：苯甲酸及其钠盐（以苯甲酸计）、山梨酸及其钾盐（以山梨酸计）、脱氢乙酸及其钠盐（以脱氢乙酸计）、糖精钠（以糖精计）、菌落总数（限产品明示标准和质量要求有限</w:t>
      </w:r>
      <w:r>
        <w:rPr>
          <w:rFonts w:ascii="Times New Roman" w:eastAsia="仿宋_GB2312" w:hAnsi="Times New Roman" w:cs="Times New Roman"/>
          <w:sz w:val="32"/>
          <w:szCs w:val="32"/>
        </w:rPr>
        <w:t>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20B6C7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w:t>
      </w:r>
      <w:r>
        <w:rPr>
          <w:rFonts w:ascii="Times New Roman" w:eastAsia="仿宋_GB2312" w:hAnsi="Times New Roman" w:cs="Times New Roman"/>
          <w:sz w:val="32"/>
          <w:szCs w:val="32"/>
        </w:rPr>
        <w:t>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w:t>
      </w:r>
      <w:r>
        <w:rPr>
          <w:rFonts w:ascii="Times New Roman" w:eastAsia="仿宋_GB2312" w:hAnsi="Times New Roman" w:cs="Times New Roman"/>
          <w:sz w:val="32"/>
          <w:szCs w:val="32"/>
        </w:rPr>
        <w:lastRenderedPageBreak/>
        <w:t>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B4D307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其他谷物粉类制成品：黄曲霉毒素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w:t>
      </w:r>
      <w:r>
        <w:rPr>
          <w:rFonts w:ascii="Times New Roman" w:eastAsia="仿宋_GB2312" w:hAnsi="Times New Roman" w:cs="Times New Roman"/>
          <w:sz w:val="32"/>
          <w:szCs w:val="32"/>
        </w:rPr>
        <w:t>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B48AB74" w14:textId="77777777" w:rsidR="002D3060" w:rsidRDefault="0073133B">
      <w:pPr>
        <w:spacing w:line="600" w:lineRule="exact"/>
        <w:ind w:firstLineChars="200" w:firstLine="640"/>
        <w:jc w:val="left"/>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3DE66EC3"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C33FEB7"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t>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01BF7E1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A54D00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w:t>
      </w:r>
      <w:r>
        <w:rPr>
          <w:rFonts w:ascii="Times New Roman" w:eastAsia="仿宋_GB2312" w:hAnsi="Times New Roman" w:cs="Times New Roman"/>
          <w:sz w:val="32"/>
          <w:szCs w:val="32"/>
        </w:rPr>
        <w:lastRenderedPageBreak/>
        <w:t>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芘（除橄榄油、油橄榄果渣油之外的产品检测）、溶剂残留量（除玉米油之外的产品检测）、特丁基对苯二酚（</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）（除芝麻油之外的产品检测）、乙基麦芽酚（限菜籽油、芝麻油、含芝麻油的食用植物调和油检测）。</w:t>
      </w:r>
    </w:p>
    <w:p w14:paraId="12BDAC09" w14:textId="77777777" w:rsidR="002D3060" w:rsidRDefault="0073133B">
      <w:pPr>
        <w:spacing w:line="600" w:lineRule="exact"/>
        <w:ind w:firstLineChars="200" w:firstLine="640"/>
        <w:jc w:val="left"/>
        <w:rPr>
          <w:rFonts w:ascii="Times New Roman" w:eastAsia="黑体" w:hAnsi="Times New Roman"/>
          <w:sz w:val="32"/>
          <w:szCs w:val="32"/>
        </w:rPr>
      </w:pPr>
      <w:bookmarkStart w:id="1" w:name="_Toc2951"/>
      <w:r>
        <w:rPr>
          <w:rFonts w:ascii="Times New Roman" w:eastAsia="黑体" w:hAnsi="Times New Roman" w:hint="eastAsia"/>
          <w:sz w:val="32"/>
          <w:szCs w:val="32"/>
        </w:rPr>
        <w:t>三、调</w:t>
      </w:r>
      <w:r>
        <w:rPr>
          <w:rFonts w:ascii="Times New Roman" w:eastAsia="黑体" w:hAnsi="Times New Roman" w:hint="eastAsia"/>
          <w:sz w:val="32"/>
          <w:szCs w:val="32"/>
        </w:rPr>
        <w:t>味品</w:t>
      </w:r>
      <w:bookmarkEnd w:id="1"/>
    </w:p>
    <w:p w14:paraId="117D99AF"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A7D7BD5"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GB 2717—2018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食醋》（</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t>2719—2018</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5B046921"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341ED28"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仅产品明示标准和质量要求有限量规定时检测）、铵盐（以占氨基酸态氮的百分比计）（仅产品明示标准和质量要求有限量规定时检测）、苯甲酸及其钠盐（以苯甲酸计）、山梨酸及其钾盐（以</w:t>
      </w:r>
      <w:r>
        <w:rPr>
          <w:rFonts w:ascii="Times New Roman" w:eastAsia="仿宋_GB2312" w:hAnsi="Times New Roman" w:cs="Times New Roman"/>
          <w:sz w:val="32"/>
          <w:szCs w:val="32"/>
        </w:rPr>
        <w:lastRenderedPageBreak/>
        <w:t>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14:paraId="2333ED07"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w:t>
      </w:r>
      <w:r>
        <w:rPr>
          <w:rFonts w:ascii="Times New Roman" w:eastAsia="仿宋_GB2312" w:hAnsi="Times New Roman" w:cs="Times New Roman"/>
          <w:sz w:val="32"/>
          <w:szCs w:val="32"/>
        </w:rPr>
        <w:t>酯类及其钠盐项目仅包括对羟基苯甲酸甲酯钠、对羟基苯甲酸乙酯及其钠盐）、防腐剂混合使用时各自用量占其最大使用量的比例之和、糖精钠（以糖精计）、菌落总数。</w:t>
      </w:r>
    </w:p>
    <w:p w14:paraId="1A18E2B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香辛料调味油：酸价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酸值（限产品明示标准和质量要求有限量规定时检测）、过氧化值（限产品明示标准和质量要求有限量规定时检测）、铅（以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47BD35CE"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、脱氢乙酸及其钠盐（以脱氢乙酸计）、沙门氏菌。</w:t>
      </w:r>
    </w:p>
    <w:p w14:paraId="40C5FEB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计）（水产调味品</w:t>
      </w:r>
      <w:r>
        <w:rPr>
          <w:rFonts w:ascii="Times New Roman" w:eastAsia="仿宋_GB2312" w:hAnsi="Times New Roman" w:cs="Times New Roman"/>
          <w:sz w:val="32"/>
          <w:szCs w:val="32"/>
        </w:rPr>
        <w:t>和藻类调味品不检测，含松茸的产品不检测）、苏丹红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w:t>
      </w:r>
      <w:r>
        <w:rPr>
          <w:rFonts w:ascii="Times New Roman" w:eastAsia="仿宋_GB2312" w:hAnsi="Times New Roman" w:cs="Times New Roman"/>
          <w:sz w:val="32"/>
          <w:szCs w:val="32"/>
        </w:rPr>
        <w:lastRenderedPageBreak/>
        <w:t>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14:paraId="06C8CADC"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w:t>
      </w:r>
    </w:p>
    <w:p w14:paraId="601B0561"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7</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、甜蜜素（以环己基氨基磺酸计）。</w:t>
      </w:r>
    </w:p>
    <w:p w14:paraId="07AA4191"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其他液体调味料：</w:t>
      </w:r>
      <w:r>
        <w:rPr>
          <w:rFonts w:ascii="Times New Roman" w:eastAsia="仿宋_GB2312" w:hAnsi="Times New Roman"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eastAsia="仿宋_GB2312" w:hAnsi="Times New Roman" w:cs="Times New Roman"/>
          <w:color w:val="auto"/>
          <w:kern w:val="2"/>
          <w:sz w:val="32"/>
          <w:szCs w:val="32"/>
        </w:rPr>
        <w:t>、甜蜜素（以环己基氨基磺酸计）、菌落总数（限产品明示标准和质量要求有限量规定时检测）、大肠菌群（限产品明示标准和质量要求有限量规定时检测）。</w:t>
      </w:r>
    </w:p>
    <w:p w14:paraId="29A21DA9" w14:textId="77777777" w:rsidR="002D3060" w:rsidRDefault="0073133B">
      <w:pPr>
        <w:spacing w:line="600" w:lineRule="exact"/>
        <w:ind w:firstLineChars="200" w:firstLine="640"/>
        <w:jc w:val="left"/>
        <w:rPr>
          <w:rFonts w:ascii="Times New Roman" w:eastAsia="黑体" w:hAnsi="Times New Roman"/>
          <w:sz w:val="32"/>
          <w:szCs w:val="32"/>
        </w:rPr>
      </w:pPr>
      <w:bookmarkStart w:id="2" w:name="_Toc17926"/>
      <w:r>
        <w:rPr>
          <w:rFonts w:ascii="Times New Roman" w:eastAsia="黑体" w:hAnsi="Times New Roman" w:hint="eastAsia"/>
          <w:sz w:val="32"/>
          <w:szCs w:val="32"/>
        </w:rPr>
        <w:t>四、肉制品</w:t>
      </w:r>
      <w:bookmarkEnd w:id="2"/>
    </w:p>
    <w:p w14:paraId="4B58A8E5"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354447E"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w:t>
      </w:r>
      <w:r>
        <w:rPr>
          <w:rFonts w:ascii="Times New Roman" w:eastAsia="仿宋_GB2312" w:hAnsi="Times New Roman" w:cs="Times New Roman"/>
          <w:sz w:val="32"/>
          <w:szCs w:val="32"/>
        </w:rPr>
        <w:t>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腌腊肉制品》（</w:t>
      </w:r>
      <w:r>
        <w:rPr>
          <w:rFonts w:ascii="Times New Roman" w:eastAsia="仿宋_GB2312" w:hAnsi="Times New Roman" w:cs="Times New Roman"/>
          <w:sz w:val="32"/>
          <w:szCs w:val="32"/>
        </w:rPr>
        <w:t>GB 2730—2015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72D44D71"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二）检验项目</w:t>
      </w:r>
    </w:p>
    <w:p w14:paraId="55ABE6AE"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腌腊肉制品：过氧化值（以脂肪计）、总砷（以</w:t>
      </w:r>
      <w:r>
        <w:rPr>
          <w:rFonts w:ascii="Times New Roman" w:eastAsia="仿宋_GB2312" w:hAnsi="Times New Roman" w:cs="Times New Roman"/>
          <w:color w:val="auto"/>
          <w:kern w:val="2"/>
          <w:sz w:val="32"/>
          <w:szCs w:val="32"/>
        </w:rPr>
        <w:t>s</w:t>
      </w:r>
      <w:r>
        <w:rPr>
          <w:rFonts w:ascii="Times New Roman" w:eastAsia="仿宋_GB2312" w:hAnsi="Times New Roman" w:cs="Times New Roman"/>
          <w:color w:val="auto"/>
          <w:kern w:val="2"/>
          <w:sz w:val="32"/>
          <w:szCs w:val="32"/>
        </w:rPr>
        <w:t>计）、亚硝酸盐（以亚硝酸钠计）、苯甲酸及其钠盐（以苯甲酸计）、山梨酸及其钾盐（以山梨酸计）、胭脂红、氯霉素。</w:t>
      </w:r>
    </w:p>
    <w:p w14:paraId="3EBD7A27" w14:textId="77777777" w:rsidR="002D3060" w:rsidRDefault="0073133B">
      <w:pPr>
        <w:pStyle w:val="Default"/>
        <w:spacing w:line="600" w:lineRule="exact"/>
        <w:ind w:firstLine="640"/>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酱卤肉制品：铅（以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s</w:t>
      </w:r>
      <w:r>
        <w:rPr>
          <w:rFonts w:ascii="Times New Roman" w:eastAsia="仿宋_GB2312" w:hAnsi="Times New Roman" w:cs="Times New Roman"/>
          <w:color w:val="auto"/>
          <w:kern w:val="2"/>
          <w:sz w:val="32"/>
          <w:szCs w:val="32"/>
        </w:rPr>
        <w:t>计）、亚硝酸盐（以亚硝酸钠计）、苯甲酸及其钠盐（以苯甲酸计）、山梨酸及其钾盐（以山梨酸计）、脱氢乙酸及其钠盐（以脱氢乙酸计）、防腐剂混合使用时各自用量占其最大使用量的比例之和、胭脂红、糖精钠（以糖精计）、氯霉素、酸性橙</w:t>
      </w:r>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w:t>
      </w:r>
      <w:r>
        <w:rPr>
          <w:rFonts w:ascii="Times New Roman" w:eastAsia="仿宋_GB2312" w:hAnsi="Times New Roman" w:cs="Times New Roman"/>
          <w:color w:val="auto"/>
          <w:kern w:val="2"/>
          <w:sz w:val="32"/>
          <w:szCs w:val="32"/>
        </w:rPr>
        <w:t>仅限预包装食品检测）、沙门氏菌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w:t>
      </w:r>
      <w:r>
        <w:rPr>
          <w:rFonts w:ascii="Times New Roman" w:eastAsia="仿宋_GB2312" w:hAnsi="Times New Roman" w:cs="Times New Roman"/>
          <w:color w:val="auto"/>
          <w:kern w:val="2"/>
          <w:sz w:val="32"/>
          <w:szCs w:val="32"/>
        </w:rPr>
        <w:lastRenderedPageBreak/>
        <w:t>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、商业无菌（仅限罐头工艺食品检测）。</w:t>
      </w:r>
    </w:p>
    <w:p w14:paraId="0603F4F3"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熟肉干制品：铅（以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w:t>
      </w:r>
      <w:r>
        <w:rPr>
          <w:rFonts w:ascii="Times New Roman" w:eastAsia="仿宋_GB2312" w:hAnsi="Times New Roman" w:cs="Times New Roman"/>
          <w:color w:val="auto"/>
          <w:kern w:val="2"/>
          <w:sz w:val="32"/>
          <w:szCs w:val="32"/>
        </w:rPr>
        <w:lastRenderedPageBreak/>
        <w:t>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w:t>
      </w:r>
    </w:p>
    <w:p w14:paraId="60D8CC64"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熏烧烤肉制品：铅（以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计）、苯并</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芘、亚硝酸盐（以亚硝酸钠</w:t>
      </w:r>
      <w:r>
        <w:rPr>
          <w:rFonts w:ascii="Times New Roman" w:eastAsia="仿宋_GB2312" w:hAnsi="Times New Roman" w:cs="Times New Roman"/>
          <w:color w:val="auto"/>
          <w:kern w:val="2"/>
          <w:sz w:val="32"/>
          <w:szCs w:val="32"/>
        </w:rPr>
        <w:t>计）、氯霉素、菌落总数（仅限预包装食品检测）、大肠菌群（仅限预包装食品检测）、沙门氏菌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w:t>
      </w:r>
    </w:p>
    <w:p w14:paraId="7826086B"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5</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w:t>
      </w:r>
      <w:r>
        <w:rPr>
          <w:rFonts w:ascii="Times New Roman" w:eastAsia="仿宋_GB2312" w:hAnsi="Times New Roman" w:cs="Times New Roman"/>
          <w:color w:val="auto"/>
          <w:kern w:val="2"/>
          <w:sz w:val="32"/>
          <w:szCs w:val="32"/>
        </w:rPr>
        <w:t>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、单核细胞增生李斯特氏菌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lastRenderedPageBreak/>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w:t>
      </w:r>
    </w:p>
    <w:p w14:paraId="661DE6E2" w14:textId="77777777" w:rsidR="002D3060" w:rsidRDefault="0073133B">
      <w:pPr>
        <w:spacing w:line="600" w:lineRule="exact"/>
        <w:ind w:firstLineChars="200" w:firstLine="640"/>
        <w:jc w:val="left"/>
        <w:rPr>
          <w:rFonts w:ascii="黑体" w:eastAsia="黑体" w:hAnsi="黑体" w:cs="Times New Roman"/>
          <w:sz w:val="32"/>
          <w:szCs w:val="32"/>
        </w:rPr>
      </w:pPr>
      <w:bookmarkStart w:id="3" w:name="_Toc24770"/>
      <w:r>
        <w:rPr>
          <w:rFonts w:ascii="黑体" w:eastAsia="黑体" w:hAnsi="黑体" w:cs="Times New Roman"/>
          <w:sz w:val="32"/>
          <w:szCs w:val="32"/>
        </w:rPr>
        <w:t>五、乳制品</w:t>
      </w:r>
      <w:bookmarkEnd w:id="3"/>
    </w:p>
    <w:p w14:paraId="242F493D"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5197A88"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t>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卫生部、工业和信息化部、农业部、工商总局、质检总局公告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7D7E9748"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C7EAA3A"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液体乳（灭菌乳）：蛋白质、非脂乳固体、酸度、脂肪（限全脂产品检测）、三聚氰胺、商业无菌。</w:t>
      </w:r>
    </w:p>
    <w:p w14:paraId="225563B1"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14:paraId="40DE3114"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液体乳（发酵乳）的检验项目包括：脂肪（限全脂产品检测）、蛋白质、酸度、乳酸菌数（限发酵后未经热处理的产品检测）、山梨酸及其钾盐、三聚氰胺、大肠菌群、酵</w:t>
      </w:r>
      <w:r>
        <w:rPr>
          <w:rFonts w:ascii="Times New Roman" w:eastAsia="仿宋_GB2312" w:hAnsi="Times New Roman" w:cs="Times New Roman"/>
          <w:color w:val="auto"/>
          <w:kern w:val="2"/>
          <w:sz w:val="32"/>
          <w:szCs w:val="32"/>
        </w:rPr>
        <w:lastRenderedPageBreak/>
        <w:t>母、霉菌、金黄色葡萄球菌、沙门氏菌。</w:t>
      </w:r>
    </w:p>
    <w:p w14:paraId="270D9373" w14:textId="77777777" w:rsidR="002D3060" w:rsidRDefault="0073133B">
      <w:pPr>
        <w:spacing w:line="600" w:lineRule="exact"/>
        <w:ind w:firstLineChars="200" w:firstLine="640"/>
        <w:jc w:val="left"/>
        <w:rPr>
          <w:rFonts w:ascii="黑体" w:eastAsia="黑体" w:hAnsi="黑体" w:cs="Times New Roman"/>
          <w:sz w:val="32"/>
          <w:szCs w:val="32"/>
        </w:rPr>
      </w:pPr>
      <w:bookmarkStart w:id="4" w:name="_Toc26002"/>
      <w:r>
        <w:rPr>
          <w:rFonts w:ascii="黑体" w:eastAsia="黑体" w:hAnsi="黑体" w:cs="Times New Roman"/>
          <w:sz w:val="32"/>
          <w:szCs w:val="32"/>
        </w:rPr>
        <w:t>六、饮料</w:t>
      </w:r>
      <w:bookmarkEnd w:id="4"/>
    </w:p>
    <w:p w14:paraId="4EDE6BAF"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5D5E84C"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）标准及产品明示标准和质量要求。</w:t>
      </w:r>
    </w:p>
    <w:p w14:paraId="3A3D8FA4"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6BC4CDC"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60DD7C4C" w14:textId="77777777" w:rsidR="002D3060" w:rsidRDefault="0073133B">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2BF64A6D"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w:t>
      </w:r>
      <w:r>
        <w:rPr>
          <w:rFonts w:ascii="Times New Roman" w:eastAsia="仿宋_GB2312" w:hAnsi="Times New Roman" w:cs="Times New Roman"/>
          <w:sz w:val="32"/>
          <w:szCs w:val="32"/>
        </w:rPr>
        <w:lastRenderedPageBreak/>
        <w:t>素（以环己基氨基磺酸计）、合成着色剂（苋菜红、胭脂红、柠檬黄、日落黄、亮蓝）（视产品</w:t>
      </w:r>
      <w:r>
        <w:rPr>
          <w:rFonts w:ascii="Times New Roman" w:eastAsia="仿宋_GB2312" w:hAnsi="Times New Roman" w:cs="Times New Roman"/>
          <w:sz w:val="32"/>
          <w:szCs w:val="32"/>
        </w:rPr>
        <w:t>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的产品除外、限未添加活菌（未杀菌）型产品检测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2291F0C5"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蛋白饮料：蛋白质、三聚氰胺（限配料中含乳的产品检测）、脱氢乙酸及其钠盐（以脱氢乙酸计）、菌落总数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不适用于活菌（未杀菌）型产品、限预包装食品检测）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w:t>
      </w:r>
      <w:r>
        <w:rPr>
          <w:rFonts w:ascii="Times New Roman" w:eastAsia="仿宋_GB2312" w:hAnsi="Times New Roman" w:cs="Times New Roman"/>
          <w:sz w:val="32"/>
          <w:szCs w:val="32"/>
        </w:rPr>
        <w:t>沙门氏菌。</w:t>
      </w:r>
    </w:p>
    <w:p w14:paraId="53CE7FBF"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茶饮料：茶多酚（奶茶饮料不检测）、咖啡因、脱氢乙酸及其钠盐（以脱氢乙酸计）、菌落总数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407957C"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限预包装食品检测；不适用于活菌（未杀菌）型产品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w:t>
      </w:r>
      <w:r>
        <w:rPr>
          <w:rFonts w:ascii="Times New Roman" w:eastAsia="仿宋_GB2312" w:hAnsi="Times New Roman" w:cs="Times New Roman"/>
          <w:sz w:val="32"/>
          <w:szCs w:val="32"/>
        </w:rPr>
        <w:t>食品检测）、霉菌（限预包装食品检测）、酵母（限预包装食品检测）、</w:t>
      </w:r>
      <w:r>
        <w:rPr>
          <w:rFonts w:ascii="Times New Roman" w:eastAsia="仿宋_GB2312" w:hAnsi="Times New Roman" w:cs="Times New Roman"/>
          <w:sz w:val="32"/>
          <w:szCs w:val="32"/>
        </w:rPr>
        <w:lastRenderedPageBreak/>
        <w:t>沙门氏菌。</w:t>
      </w:r>
    </w:p>
    <w:p w14:paraId="21FE7A62" w14:textId="77777777" w:rsidR="002D3060" w:rsidRDefault="0073133B">
      <w:pPr>
        <w:spacing w:line="600" w:lineRule="exact"/>
        <w:ind w:firstLineChars="200" w:firstLine="640"/>
        <w:jc w:val="left"/>
        <w:rPr>
          <w:rFonts w:ascii="黑体" w:eastAsia="黑体" w:hAnsi="黑体" w:cs="Times New Roman"/>
          <w:sz w:val="32"/>
          <w:szCs w:val="32"/>
        </w:rPr>
      </w:pPr>
      <w:bookmarkStart w:id="5" w:name="_Toc32005"/>
      <w:r>
        <w:rPr>
          <w:rFonts w:ascii="黑体" w:eastAsia="黑体" w:hAnsi="黑体" w:cs="Times New Roman"/>
          <w:sz w:val="32"/>
          <w:szCs w:val="32"/>
        </w:rPr>
        <w:t>七、方便食品</w:t>
      </w:r>
      <w:bookmarkEnd w:id="5"/>
    </w:p>
    <w:p w14:paraId="3AA9CE41"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5A667C"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）等标准及产品明示标准和质量要求。</w:t>
      </w:r>
    </w:p>
    <w:p w14:paraId="6A1A78D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49AA92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限面饼和调料的混合检验）、大肠菌群（限面饼和调料的混合检验）。</w:t>
      </w:r>
    </w:p>
    <w:p w14:paraId="0C56DC03" w14:textId="77777777" w:rsidR="002D3060" w:rsidRDefault="0073133B">
      <w:pPr>
        <w:spacing w:line="600" w:lineRule="exact"/>
        <w:ind w:firstLineChars="200" w:firstLine="640"/>
        <w:jc w:val="left"/>
        <w:rPr>
          <w:rFonts w:ascii="黑体" w:eastAsia="黑体" w:hAnsi="黑体" w:cs="Times New Roman"/>
          <w:sz w:val="32"/>
          <w:szCs w:val="32"/>
        </w:rPr>
      </w:pPr>
      <w:bookmarkStart w:id="6" w:name="_Toc24601"/>
      <w:r>
        <w:rPr>
          <w:rFonts w:ascii="黑体" w:eastAsia="黑体" w:hAnsi="黑体" w:cs="Times New Roman" w:hint="eastAsia"/>
          <w:sz w:val="32"/>
          <w:szCs w:val="32"/>
        </w:rPr>
        <w:t>八</w:t>
      </w:r>
      <w:r>
        <w:rPr>
          <w:rFonts w:ascii="黑体" w:eastAsia="黑体" w:hAnsi="黑体" w:cs="Times New Roman"/>
          <w:sz w:val="32"/>
          <w:szCs w:val="32"/>
        </w:rPr>
        <w:t>、速冻食品</w:t>
      </w:r>
      <w:bookmarkEnd w:id="6"/>
    </w:p>
    <w:p w14:paraId="7B431915"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8262B18"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w:t>
      </w:r>
      <w:r>
        <w:rPr>
          <w:rFonts w:ascii="Times New Roman" w:eastAsia="仿宋_GB2312" w:hAnsi="Times New Roman" w:cs="Times New Roman"/>
          <w:sz w:val="32"/>
          <w:szCs w:val="32"/>
        </w:rPr>
        <w:t>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速冻面米与调制食品》（</w:t>
      </w:r>
      <w:r>
        <w:rPr>
          <w:rFonts w:ascii="Times New Roman" w:eastAsia="仿宋_GB2312" w:hAnsi="Times New Roman" w:cs="Times New Roman"/>
          <w:sz w:val="32"/>
          <w:szCs w:val="32"/>
        </w:rPr>
        <w:t>GB 19295—2021</w:t>
      </w:r>
      <w:r>
        <w:rPr>
          <w:rFonts w:ascii="Times New Roman" w:eastAsia="仿宋_GB2312" w:hAnsi="Times New Roman" w:cs="Times New Roman"/>
          <w:sz w:val="32"/>
          <w:szCs w:val="32"/>
        </w:rPr>
        <w:t>）等标准及产品明示标准和质量要求。</w:t>
      </w:r>
    </w:p>
    <w:p w14:paraId="4B502A49"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D7301F1"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速冻面米熟制品：过氧化值（以脂肪计）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 xml:space="preserve"> 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日前：限以动物性食品或坚果类为主要原料馅</w:t>
      </w:r>
      <w:r>
        <w:rPr>
          <w:rFonts w:ascii="Times New Roman" w:eastAsia="仿宋_GB2312" w:hAnsi="Times New Roman" w:cs="Times New Roman"/>
          <w:sz w:val="32"/>
          <w:szCs w:val="32"/>
        </w:rPr>
        <w:lastRenderedPageBreak/>
        <w:t>料的速冻面米食品检测；生产日期在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日（含）后：以动物性食品、坚果及籽类食品为馅料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（限玉米制品检测）、糖精钠（以糖精计）（配料中含甜味剂、食糖或者呈甜味的食品检测）、菌落总数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日前：限速冻面米熟制品检测；生产日期在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日前：限速冻面米熟制品检测；生产日期在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日（含）后限即食速冻面米食品检测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日（含）后的即食速冻面米食品检测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01E6913" w14:textId="77777777" w:rsidR="002D3060" w:rsidRDefault="0073133B">
      <w:pPr>
        <w:spacing w:line="600" w:lineRule="exact"/>
        <w:ind w:firstLineChars="200" w:firstLine="640"/>
        <w:jc w:val="left"/>
        <w:rPr>
          <w:rFonts w:ascii="黑体" w:eastAsia="黑体" w:hAnsi="黑体" w:cs="Times New Roman"/>
          <w:sz w:val="32"/>
          <w:szCs w:val="32"/>
        </w:rPr>
      </w:pPr>
      <w:bookmarkStart w:id="7" w:name="_Toc9040"/>
      <w:r>
        <w:rPr>
          <w:rFonts w:ascii="黑体" w:eastAsia="黑体" w:hAnsi="黑体" w:cs="Times New Roman" w:hint="eastAsia"/>
          <w:sz w:val="32"/>
          <w:szCs w:val="32"/>
        </w:rPr>
        <w:t>九</w:t>
      </w:r>
      <w:r>
        <w:rPr>
          <w:rFonts w:ascii="黑体" w:eastAsia="黑体" w:hAnsi="黑体" w:cs="Times New Roman"/>
          <w:sz w:val="32"/>
          <w:szCs w:val="32"/>
        </w:rPr>
        <w:t>、薯类和膨化食品</w:t>
      </w:r>
      <w:bookmarkEnd w:id="7"/>
    </w:p>
    <w:p w14:paraId="49B1AE4E"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078CD3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）、《马铃薯片》（</w:t>
      </w:r>
      <w:r>
        <w:rPr>
          <w:rFonts w:ascii="Times New Roman" w:eastAsia="仿宋_GB2312" w:hAnsi="Times New Roman" w:cs="Times New Roman"/>
          <w:sz w:val="32"/>
          <w:szCs w:val="32"/>
        </w:rPr>
        <w:t>QB/T 2686—2005</w:t>
      </w:r>
      <w:r>
        <w:rPr>
          <w:rFonts w:ascii="Times New Roman" w:eastAsia="仿宋_GB2312" w:hAnsi="Times New Roman" w:cs="Times New Roman"/>
          <w:sz w:val="32"/>
          <w:szCs w:val="32"/>
        </w:rPr>
        <w:t>）等标准及产品明示标准和质量要求。</w:t>
      </w:r>
    </w:p>
    <w:p w14:paraId="75657984"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50F3A22E"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的非定量包装食品不检此项）、过氧化值（以脂肪计）（含油型产品检测、产品明示标准为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（以玉米为原料的产品检测）、糖精钠（以糖精计）、苯甲酸及其钠盐（以苯甲酸计）、山梨酸及其钾盐（以山梨酸计）、菌落总数（产品明示标准为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w:t>
      </w:r>
      <w:r>
        <w:rPr>
          <w:rFonts w:ascii="Times New Roman" w:eastAsia="仿宋_GB2312" w:hAnsi="Times New Roman" w:cs="Times New Roman"/>
          <w:sz w:val="32"/>
          <w:szCs w:val="32"/>
        </w:rPr>
        <w:t>99</w:t>
      </w:r>
      <w:r>
        <w:rPr>
          <w:rFonts w:ascii="Times New Roman" w:eastAsia="仿宋_GB2312" w:hAnsi="Times New Roman" w:cs="Times New Roman"/>
          <w:sz w:val="32"/>
          <w:szCs w:val="32"/>
        </w:rPr>
        <w:t>的非定量包装食品不检此项）、沙门氏菌、金黄色葡萄球菌。</w:t>
      </w:r>
    </w:p>
    <w:p w14:paraId="2DA1A7D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干制薯类：酸价（以脂肪计）（含油型产品检测）、过氧化值（以脂肪计）（含油型产品检测）、菌落总数、大肠菌群、铅（以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计）、沙门氏菌、金黄色葡萄球菌。</w:t>
      </w:r>
    </w:p>
    <w:p w14:paraId="2DB09083" w14:textId="77777777" w:rsidR="002D3060" w:rsidRDefault="0073133B">
      <w:pPr>
        <w:spacing w:line="600" w:lineRule="exact"/>
        <w:ind w:firstLineChars="200" w:firstLine="640"/>
        <w:jc w:val="left"/>
        <w:rPr>
          <w:rFonts w:ascii="黑体" w:eastAsia="黑体" w:hAnsi="黑体" w:cs="Times New Roman"/>
          <w:sz w:val="32"/>
          <w:szCs w:val="32"/>
        </w:rPr>
      </w:pPr>
      <w:bookmarkStart w:id="8" w:name="_Toc6250"/>
      <w:r>
        <w:rPr>
          <w:rFonts w:ascii="黑体" w:eastAsia="黑体" w:hAnsi="黑体" w:cs="Times New Roman"/>
          <w:sz w:val="32"/>
          <w:szCs w:val="32"/>
        </w:rPr>
        <w:t>十、糖果制品</w:t>
      </w:r>
      <w:bookmarkEnd w:id="8"/>
    </w:p>
    <w:p w14:paraId="69A4CE4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28A47B7"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3DEE341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76510C87"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1E5A7D6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巧克力及巧克力制品、代可可脂巧克力及代可可脂巧克力制品：铅（以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计）、沙门氏菌。</w:t>
      </w:r>
    </w:p>
    <w:p w14:paraId="10896A54" w14:textId="77777777" w:rsidR="002D3060" w:rsidRDefault="0073133B">
      <w:pPr>
        <w:spacing w:line="600" w:lineRule="exact"/>
        <w:ind w:firstLineChars="200" w:firstLine="640"/>
        <w:jc w:val="left"/>
        <w:rPr>
          <w:rFonts w:ascii="黑体" w:eastAsia="黑体" w:hAnsi="黑体" w:cs="Times New Roman"/>
          <w:sz w:val="32"/>
          <w:szCs w:val="32"/>
        </w:rPr>
      </w:pPr>
      <w:bookmarkStart w:id="9" w:name="_Toc11914"/>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、茶叶及相关制品</w:t>
      </w:r>
      <w:bookmarkEnd w:id="9"/>
    </w:p>
    <w:p w14:paraId="02C0DBCE"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BBD25A8"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w:t>
      </w:r>
      <w:r>
        <w:rPr>
          <w:rFonts w:ascii="Times New Roman" w:eastAsia="仿宋_GB2312" w:hAnsi="Times New Roman" w:cs="Times New Roman"/>
          <w:sz w:val="32"/>
          <w:szCs w:val="32"/>
        </w:rPr>
        <w:t>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）、《砖茶含氟量》（</w:t>
      </w:r>
      <w:r>
        <w:rPr>
          <w:rFonts w:ascii="Times New Roman" w:eastAsia="仿宋_GB2312" w:hAnsi="Times New Roman" w:cs="Times New Roman"/>
          <w:sz w:val="32"/>
          <w:szCs w:val="32"/>
        </w:rPr>
        <w:t>GB 19965—2005</w:t>
      </w:r>
      <w:r>
        <w:rPr>
          <w:rFonts w:ascii="Times New Roman" w:eastAsia="仿宋_GB2312" w:hAnsi="Times New Roman" w:cs="Times New Roman"/>
          <w:sz w:val="32"/>
          <w:szCs w:val="32"/>
        </w:rPr>
        <w:t>）等标准及产品明示标准和质量要求。</w:t>
      </w:r>
    </w:p>
    <w:p w14:paraId="625A843C"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8FD959"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计）、氟（限</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t>19965</w:t>
      </w:r>
      <w:r>
        <w:rPr>
          <w:rFonts w:ascii="Times New Roman" w:eastAsia="仿宋_GB2312" w:hAnsi="Times New Roman" w:cs="Times New Roman"/>
          <w:sz w:val="32"/>
          <w:szCs w:val="32"/>
        </w:rPr>
        <w:t>中规定的砖茶品种或产品明示标准和质量要求有限量规定时检测）、草甘膦、吡虫啉、乙酰甲胺磷、联苯菊酯、灭多威、三氯杀螨醇、氰戊菊酯和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氰戊菊酯、甲拌磷、克百威、水胺硫磷、氧乐果、毒死蜱、毒虫畏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、氯酞酸甲酯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、灭螨醌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w:t>
      </w:r>
      <w:r>
        <w:rPr>
          <w:rFonts w:ascii="Times New Roman" w:eastAsia="仿宋_GB2312" w:hAnsi="Times New Roman" w:cs="Times New Roman"/>
          <w:sz w:val="32"/>
          <w:szCs w:val="32"/>
        </w:rPr>
        <w:lastRenderedPageBreak/>
        <w:t>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、甲氧滴滴涕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、特乐酚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3A920639"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含茶制品（所有项目仅产品</w:t>
      </w:r>
      <w:r>
        <w:rPr>
          <w:rFonts w:ascii="Times New Roman" w:eastAsia="仿宋_GB2312" w:hAnsi="Times New Roman" w:cs="Times New Roman"/>
          <w:sz w:val="32"/>
          <w:szCs w:val="32"/>
        </w:rPr>
        <w:t>明示及质量要求有限量规定时检测）：铅（以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计）、菌落总数（限速溶茶类产品检测）、大肠菌群（限速溶茶类产品检测）。</w:t>
      </w:r>
    </w:p>
    <w:p w14:paraId="0F0578D9"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计）、哒螨灵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、啶虫脒</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、唑螨酯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、克百威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、炔螨特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w:t>
      </w:r>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、吡虫啉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FF9E2E3" w14:textId="77777777" w:rsidR="002D3060" w:rsidRDefault="0073133B">
      <w:pPr>
        <w:spacing w:line="600" w:lineRule="exact"/>
        <w:ind w:firstLineChars="200" w:firstLine="640"/>
        <w:jc w:val="left"/>
        <w:rPr>
          <w:rFonts w:ascii="黑体" w:eastAsia="黑体" w:hAnsi="黑体" w:cs="Times New Roman"/>
          <w:sz w:val="32"/>
          <w:szCs w:val="32"/>
        </w:rPr>
      </w:pPr>
      <w:bookmarkStart w:id="10" w:name="_Toc14033"/>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、酒类</w:t>
      </w:r>
      <w:bookmarkEnd w:id="10"/>
    </w:p>
    <w:p w14:paraId="1082184D"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9EB02C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77D6B76D"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0347CBB5"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w:t>
      </w:r>
      <w:r>
        <w:rPr>
          <w:rFonts w:ascii="Times New Roman" w:eastAsia="仿宋_GB2312" w:hAnsi="Times New Roman" w:cs="Times New Roman"/>
          <w:sz w:val="32"/>
          <w:szCs w:val="32"/>
        </w:rPr>
        <w:t>（以糖精计）、甜蜜素（以环己基氨基磺酸计）、三氯蔗糖。</w:t>
      </w:r>
    </w:p>
    <w:p w14:paraId="745EA303"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啤酒：酒精度、甲醛、原麦汁浓度。</w:t>
      </w:r>
    </w:p>
    <w:p w14:paraId="6DA09623"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以蒸馏酒及食用酒精为酒基的配制酒：酒精度、甲醇、氰化物（以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计）、甜蜜素（以环己基氨基磺酸计）。</w:t>
      </w:r>
    </w:p>
    <w:p w14:paraId="44ACAAC9" w14:textId="77777777" w:rsidR="002D3060" w:rsidRDefault="0073133B">
      <w:pPr>
        <w:spacing w:line="600" w:lineRule="exact"/>
        <w:ind w:firstLineChars="200" w:firstLine="640"/>
        <w:jc w:val="left"/>
        <w:rPr>
          <w:rFonts w:ascii="黑体" w:eastAsia="黑体" w:hAnsi="黑体" w:cs="Times New Roman"/>
          <w:sz w:val="32"/>
          <w:szCs w:val="32"/>
        </w:rPr>
      </w:pPr>
      <w:bookmarkStart w:id="11" w:name="_Toc32056"/>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、蔬菜制品</w:t>
      </w:r>
      <w:bookmarkEnd w:id="11"/>
    </w:p>
    <w:p w14:paraId="2F20B46B"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4B626B8"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2AF81D03"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B7DD07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14:paraId="74B30692"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计）、苯甲酸及其钠盐（以苯甲酸计）、山梨酸及其钾盐（以山梨酸计）、二氧化硫残留</w:t>
      </w:r>
      <w:r>
        <w:rPr>
          <w:rFonts w:ascii="Times New Roman" w:eastAsia="仿宋_GB2312" w:hAnsi="Times New Roman" w:cs="Times New Roman"/>
          <w:sz w:val="32"/>
          <w:szCs w:val="32"/>
        </w:rPr>
        <w:lastRenderedPageBreak/>
        <w:t>量（除以葱、姜、洋葱、蒜为主要原料外的产品检测）。</w:t>
      </w:r>
    </w:p>
    <w:p w14:paraId="131008BA"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计）（限不含松茸产品检测）、总砷（以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计）（限不含松茸产品检测）、镉（以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计）（限不含松茸、姬松茸产品检测）、总汞（以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计）（限不含松茸产品检测）。</w:t>
      </w:r>
    </w:p>
    <w:p w14:paraId="692B7A72" w14:textId="77777777" w:rsidR="002D3060" w:rsidRDefault="0073133B">
      <w:pPr>
        <w:spacing w:line="600" w:lineRule="exact"/>
        <w:ind w:firstLineChars="200" w:firstLine="640"/>
        <w:jc w:val="left"/>
        <w:rPr>
          <w:rFonts w:ascii="黑体" w:eastAsia="黑体" w:hAnsi="黑体" w:cs="Times New Roman"/>
          <w:sz w:val="32"/>
          <w:szCs w:val="32"/>
        </w:rPr>
      </w:pPr>
      <w:bookmarkStart w:id="12" w:name="_Toc3770"/>
      <w:r>
        <w:rPr>
          <w:rFonts w:ascii="黑体" w:eastAsia="黑体" w:hAnsi="黑体" w:cs="Times New Roman"/>
          <w:sz w:val="32"/>
          <w:szCs w:val="32"/>
        </w:rPr>
        <w:t>十</w:t>
      </w:r>
      <w:r>
        <w:rPr>
          <w:rFonts w:ascii="黑体" w:eastAsia="黑体" w:hAnsi="黑体" w:cs="Times New Roman" w:hint="eastAsia"/>
          <w:sz w:val="32"/>
          <w:szCs w:val="32"/>
        </w:rPr>
        <w:t>四</w:t>
      </w:r>
      <w:r>
        <w:rPr>
          <w:rFonts w:ascii="黑体" w:eastAsia="黑体" w:hAnsi="黑体" w:cs="Times New Roman"/>
          <w:sz w:val="32"/>
          <w:szCs w:val="32"/>
        </w:rPr>
        <w:t>、水果制品</w:t>
      </w:r>
      <w:bookmarkEnd w:id="12"/>
    </w:p>
    <w:p w14:paraId="44054E11"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A90B62C"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3CA98137"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DCEDC8B" w14:textId="62C038F9"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13EF97DE" w14:textId="77777777" w:rsidR="002D3060" w:rsidRDefault="0073133B">
      <w:pPr>
        <w:spacing w:line="600" w:lineRule="exact"/>
        <w:ind w:firstLineChars="200" w:firstLine="640"/>
        <w:jc w:val="left"/>
        <w:rPr>
          <w:rFonts w:ascii="黑体" w:eastAsia="黑体" w:hAnsi="黑体" w:cs="Times New Roman"/>
          <w:sz w:val="32"/>
          <w:szCs w:val="32"/>
        </w:rPr>
      </w:pPr>
      <w:bookmarkStart w:id="13" w:name="_Toc25794"/>
      <w:r>
        <w:rPr>
          <w:rFonts w:ascii="黑体" w:eastAsia="黑体" w:hAnsi="黑体" w:cs="Times New Roman"/>
          <w:sz w:val="32"/>
          <w:szCs w:val="32"/>
        </w:rPr>
        <w:t>十</w:t>
      </w:r>
      <w:r>
        <w:rPr>
          <w:rFonts w:ascii="黑体" w:eastAsia="黑体" w:hAnsi="黑体" w:cs="Times New Roman" w:hint="eastAsia"/>
          <w:sz w:val="32"/>
          <w:szCs w:val="32"/>
        </w:rPr>
        <w:t>五</w:t>
      </w:r>
      <w:r>
        <w:rPr>
          <w:rFonts w:ascii="黑体" w:eastAsia="黑体" w:hAnsi="黑体" w:cs="Times New Roman"/>
          <w:sz w:val="32"/>
          <w:szCs w:val="32"/>
        </w:rPr>
        <w:t>、炒货食品及坚果制品</w:t>
      </w:r>
      <w:bookmarkEnd w:id="13"/>
    </w:p>
    <w:p w14:paraId="69A1CB2E"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EFC920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w:t>
      </w:r>
      <w:r>
        <w:rPr>
          <w:rFonts w:ascii="Times New Roman" w:eastAsia="仿宋_GB2312" w:hAnsi="Times New Roman" w:cs="Times New Roman"/>
          <w:sz w:val="32"/>
          <w:szCs w:val="32"/>
        </w:rPr>
        <w:t>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3A7A1897"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90E25CE"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w:t>
      </w:r>
      <w:r>
        <w:rPr>
          <w:rFonts w:ascii="Times New Roman" w:eastAsia="仿宋_GB2312" w:hAnsi="Times New Roman" w:cs="Times New Roman"/>
          <w:sz w:val="32"/>
          <w:szCs w:val="32"/>
        </w:rPr>
        <w:t>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14:paraId="2ECD3E95" w14:textId="77777777" w:rsidR="002D3060" w:rsidRDefault="0073133B">
      <w:pPr>
        <w:spacing w:line="600" w:lineRule="exact"/>
        <w:ind w:firstLineChars="200" w:firstLine="640"/>
        <w:jc w:val="left"/>
        <w:rPr>
          <w:rFonts w:ascii="黑体" w:eastAsia="黑体" w:hAnsi="黑体" w:cs="Times New Roman"/>
          <w:sz w:val="32"/>
          <w:szCs w:val="32"/>
        </w:rPr>
      </w:pPr>
      <w:bookmarkStart w:id="14" w:name="_Toc22770"/>
      <w:r>
        <w:rPr>
          <w:rFonts w:ascii="黑体" w:eastAsia="黑体" w:hAnsi="黑体" w:cs="Times New Roman"/>
          <w:sz w:val="32"/>
          <w:szCs w:val="32"/>
        </w:rPr>
        <w:t>十</w:t>
      </w:r>
      <w:r>
        <w:rPr>
          <w:rFonts w:ascii="黑体" w:eastAsia="黑体" w:hAnsi="黑体" w:cs="Times New Roman" w:hint="eastAsia"/>
          <w:sz w:val="32"/>
          <w:szCs w:val="32"/>
        </w:rPr>
        <w:t>六</w:t>
      </w:r>
      <w:r>
        <w:rPr>
          <w:rFonts w:ascii="黑体" w:eastAsia="黑体" w:hAnsi="黑体" w:cs="Times New Roman"/>
          <w:sz w:val="32"/>
          <w:szCs w:val="32"/>
        </w:rPr>
        <w:t>、蛋制品</w:t>
      </w:r>
      <w:bookmarkEnd w:id="14"/>
    </w:p>
    <w:p w14:paraId="12E69F97"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48525F1"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w:t>
      </w:r>
      <w:r>
        <w:rPr>
          <w:rFonts w:ascii="Times New Roman" w:eastAsia="仿宋_GB2312" w:hAnsi="Times New Roman" w:cs="Times New Roman"/>
          <w:sz w:val="32"/>
          <w:szCs w:val="32"/>
        </w:rPr>
        <w:t>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730D7054"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59B484A"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计）、苯甲酸及其钠盐（以苯甲酸计）、山梨酸及其钾盐（以山梨酸计）、菌落总数（除糟蛋外的产品检测；限即食再制蛋制品检测）、大肠菌群（限即食再制蛋制品检测）、沙门氏菌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、商业无菌（限以罐头食品加工工艺生产的产品检测）。</w:t>
      </w:r>
    </w:p>
    <w:p w14:paraId="11312FCE" w14:textId="77777777" w:rsidR="002D3060" w:rsidRDefault="0073133B">
      <w:pPr>
        <w:spacing w:line="600" w:lineRule="exact"/>
        <w:ind w:firstLineChars="200" w:firstLine="640"/>
        <w:jc w:val="left"/>
        <w:rPr>
          <w:rFonts w:ascii="黑体" w:eastAsia="黑体" w:hAnsi="黑体" w:cs="Times New Roman"/>
          <w:sz w:val="32"/>
          <w:szCs w:val="32"/>
        </w:rPr>
      </w:pPr>
      <w:bookmarkStart w:id="15" w:name="_Toc20198"/>
      <w:r>
        <w:rPr>
          <w:rFonts w:ascii="黑体" w:eastAsia="黑体" w:hAnsi="黑体" w:cs="Times New Roman" w:hint="eastAsia"/>
          <w:sz w:val="32"/>
          <w:szCs w:val="32"/>
        </w:rPr>
        <w:t>十七</w:t>
      </w:r>
      <w:r>
        <w:rPr>
          <w:rFonts w:ascii="黑体" w:eastAsia="黑体" w:hAnsi="黑体" w:cs="Times New Roman"/>
          <w:sz w:val="32"/>
          <w:szCs w:val="32"/>
        </w:rPr>
        <w:t>、食糖</w:t>
      </w:r>
      <w:bookmarkEnd w:id="15"/>
    </w:p>
    <w:p w14:paraId="27039B0C"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一）抽检依据</w:t>
      </w:r>
    </w:p>
    <w:p w14:paraId="505FF17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）、《精幼砂糖》（</w:t>
      </w:r>
      <w:r>
        <w:rPr>
          <w:rFonts w:ascii="Times New Roman" w:eastAsia="仿宋_GB2312" w:hAnsi="Times New Roman" w:cs="Times New Roman"/>
          <w:sz w:val="32"/>
          <w:szCs w:val="32"/>
        </w:rPr>
        <w:t>QB/T 4564—2013</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食糖》（</w:t>
      </w:r>
      <w:r>
        <w:rPr>
          <w:rFonts w:ascii="Times New Roman" w:eastAsia="仿宋_GB2312" w:hAnsi="Times New Roman" w:cs="Times New Roman"/>
          <w:sz w:val="32"/>
          <w:szCs w:val="32"/>
        </w:rPr>
        <w:t>GB 13104—2014</w:t>
      </w:r>
      <w:r>
        <w:rPr>
          <w:rFonts w:ascii="Times New Roman" w:eastAsia="仿宋_GB2312" w:hAnsi="Times New Roman" w:cs="Times New Roman"/>
          <w:sz w:val="32"/>
          <w:szCs w:val="32"/>
        </w:rPr>
        <w:t>）等标准及产品明示标准和质量要求。</w:t>
      </w:r>
    </w:p>
    <w:p w14:paraId="0BBEBDAB"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F7F0A6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白砂糖、精幼砂糖：蔗糖分、还原糖分、色值、二氧化硫残留量、螨。</w:t>
      </w:r>
    </w:p>
    <w:p w14:paraId="37BE3375" w14:textId="77777777" w:rsidR="002D3060" w:rsidRDefault="0073133B">
      <w:pPr>
        <w:spacing w:line="600" w:lineRule="exact"/>
        <w:ind w:firstLineChars="200" w:firstLine="640"/>
        <w:jc w:val="left"/>
        <w:rPr>
          <w:rFonts w:ascii="黑体" w:eastAsia="黑体" w:hAnsi="黑体" w:cs="Times New Roman"/>
          <w:sz w:val="32"/>
          <w:szCs w:val="32"/>
        </w:rPr>
      </w:pPr>
      <w:bookmarkStart w:id="16" w:name="_Toc8345"/>
      <w:r>
        <w:rPr>
          <w:rFonts w:ascii="黑体" w:eastAsia="黑体" w:hAnsi="黑体" w:cs="Times New Roman" w:hint="eastAsia"/>
          <w:sz w:val="32"/>
          <w:szCs w:val="32"/>
        </w:rPr>
        <w:t>十八</w:t>
      </w:r>
      <w:r>
        <w:rPr>
          <w:rFonts w:ascii="黑体" w:eastAsia="黑体" w:hAnsi="黑体" w:cs="Times New Roman"/>
          <w:sz w:val="32"/>
          <w:szCs w:val="32"/>
        </w:rPr>
        <w:t>、淀粉及淀粉制品</w:t>
      </w:r>
      <w:bookmarkEnd w:id="16"/>
    </w:p>
    <w:p w14:paraId="16C8F1E3"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5F457E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 xml:space="preserve">GB </w:t>
      </w:r>
      <w:r>
        <w:rPr>
          <w:rFonts w:ascii="Times New Roman" w:eastAsia="仿宋_GB2312" w:hAnsi="Times New Roman" w:cs="Times New Roman"/>
          <w:sz w:val="32"/>
          <w:szCs w:val="32"/>
        </w:rPr>
        <w:t>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w:t>
      </w:r>
      <w:r>
        <w:rPr>
          <w:rFonts w:ascii="Times New Roman" w:eastAsia="仿宋_GB2312" w:hAnsi="Times New Roman" w:cs="Times New Roman"/>
          <w:sz w:val="32"/>
          <w:szCs w:val="32"/>
        </w:rPr>
        <w:lastRenderedPageBreak/>
        <w:t>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食用淀粉》（</w:t>
      </w:r>
      <w:r>
        <w:rPr>
          <w:rFonts w:ascii="Times New Roman" w:eastAsia="仿宋_GB2312" w:hAnsi="Times New Roman" w:cs="Times New Roman"/>
          <w:sz w:val="32"/>
          <w:szCs w:val="32"/>
        </w:rPr>
        <w:t>GB 31637—2016</w:t>
      </w:r>
      <w:r>
        <w:rPr>
          <w:rFonts w:ascii="Times New Roman" w:eastAsia="仿宋_GB2312" w:hAnsi="Times New Roman" w:cs="Times New Roman"/>
          <w:sz w:val="32"/>
          <w:szCs w:val="32"/>
        </w:rPr>
        <w:t>）、等标准及产品明示标准和质量要求。</w:t>
      </w:r>
    </w:p>
    <w:p w14:paraId="79DCE280"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9EA417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p>
    <w:p w14:paraId="1ADD1FC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计）（限粉丝粉条检测）、苯甲酸及其钠盐（以苯甲酸计）、山梨酸及其钾盐（以山梨酸计）、铝的残留量（干样品，以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计）（限粉丝粉条和虾味片检测）、二氧化硫残留量（限粉丝粉条检测）。</w:t>
      </w:r>
    </w:p>
    <w:p w14:paraId="3018268D" w14:textId="77777777" w:rsidR="002D3060" w:rsidRDefault="0073133B">
      <w:pPr>
        <w:spacing w:line="600" w:lineRule="exact"/>
        <w:ind w:firstLineChars="200" w:firstLine="640"/>
        <w:jc w:val="left"/>
        <w:rPr>
          <w:rFonts w:ascii="黑体" w:eastAsia="黑体" w:hAnsi="黑体" w:cs="Times New Roman"/>
          <w:sz w:val="32"/>
          <w:szCs w:val="32"/>
        </w:rPr>
      </w:pPr>
      <w:bookmarkStart w:id="17" w:name="_Toc21631"/>
      <w:r>
        <w:rPr>
          <w:rFonts w:ascii="黑体" w:eastAsia="黑体" w:hAnsi="黑体" w:cs="Times New Roman" w:hint="eastAsia"/>
          <w:sz w:val="32"/>
          <w:szCs w:val="32"/>
        </w:rPr>
        <w:t>十九</w:t>
      </w:r>
      <w:r>
        <w:rPr>
          <w:rFonts w:ascii="黑体" w:eastAsia="黑体" w:hAnsi="黑体" w:cs="Times New Roman"/>
          <w:sz w:val="32"/>
          <w:szCs w:val="32"/>
        </w:rPr>
        <w:t>、糕点</w:t>
      </w:r>
      <w:bookmarkEnd w:id="17"/>
    </w:p>
    <w:p w14:paraId="298BB73B"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0011B4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757FC875"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23A18BB"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糕点：酸价（以脂肪计）（仅适用于配料中添加油脂的产品）、过氧化值（以脂肪计）（仅适用于配料中添加油脂的产品）、铅（以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w:t>
      </w:r>
      <w:r>
        <w:rPr>
          <w:rFonts w:ascii="Times New Roman" w:eastAsia="仿宋_GB2312" w:hAnsi="Times New Roman" w:cs="Times New Roman"/>
          <w:sz w:val="32"/>
          <w:szCs w:val="32"/>
        </w:rPr>
        <w:t>及其钾盐（以山梨酸计）、糖精钠（以糖精计）、甜蜜素（以环己基氨基磺酸计）、安赛蜜（除面包外的产品检</w:t>
      </w:r>
      <w:r>
        <w:rPr>
          <w:rFonts w:ascii="Times New Roman" w:eastAsia="仿宋_GB2312" w:hAnsi="Times New Roman" w:cs="Times New Roman"/>
          <w:sz w:val="32"/>
          <w:szCs w:val="32"/>
        </w:rPr>
        <w:lastRenderedPageBreak/>
        <w:t>测）、铝的残留量（干样品，以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49D38AE2" w14:textId="77777777" w:rsidR="002D3060" w:rsidRDefault="0073133B">
      <w:pPr>
        <w:spacing w:line="600" w:lineRule="exact"/>
        <w:ind w:firstLineChars="200" w:firstLine="640"/>
        <w:jc w:val="left"/>
        <w:rPr>
          <w:rFonts w:ascii="黑体" w:eastAsia="黑体" w:hAnsi="黑体" w:cs="Times New Roman"/>
          <w:sz w:val="32"/>
          <w:szCs w:val="32"/>
        </w:rPr>
      </w:pPr>
      <w:bookmarkStart w:id="18" w:name="_Toc9106"/>
      <w:r>
        <w:rPr>
          <w:rFonts w:ascii="黑体" w:eastAsia="黑体" w:hAnsi="黑体" w:cs="Times New Roman"/>
          <w:sz w:val="32"/>
          <w:szCs w:val="32"/>
        </w:rPr>
        <w:t>二十、豆制品</w:t>
      </w:r>
      <w:bookmarkEnd w:id="18"/>
    </w:p>
    <w:p w14:paraId="5383EED8"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76EC025"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sz w:val="32"/>
          <w:szCs w:val="32"/>
        </w:rPr>
        <w:t>GB 2992</w:t>
      </w:r>
      <w:r>
        <w:rPr>
          <w:rFonts w:ascii="Times New Roman" w:eastAsia="仿宋_GB2312" w:hAnsi="Times New Roman" w:cs="Times New Roman"/>
          <w:sz w:val="32"/>
          <w:szCs w:val="32"/>
        </w:rPr>
        <w:t>1—2013</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3ECDFF98"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7FD32DE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w:t>
      </w:r>
      <w:r>
        <w:rPr>
          <w:rFonts w:ascii="Times New Roman" w:eastAsia="仿宋_GB2312" w:hAnsi="Times New Roman" w:cs="Times New Roman"/>
          <w:sz w:val="32"/>
          <w:szCs w:val="32"/>
        </w:rPr>
        <w:t>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6393EB6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计）（除豆浆类外的产品检测）、大肠</w:t>
      </w:r>
      <w:r>
        <w:rPr>
          <w:rFonts w:ascii="Times New Roman" w:eastAsia="仿宋_GB2312" w:hAnsi="Times New Roman" w:cs="Times New Roman"/>
          <w:sz w:val="32"/>
          <w:szCs w:val="32"/>
        </w:rPr>
        <w:t>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3CBAA02A"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计）、苯甲酸及其钠盐（以苯甲酸计）、山梨酸及其钾盐（以山梨酸计）、脱氢乙酸及其钠盐（以脱氢乙酸计）铝的残留量（干样品，以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lastRenderedPageBreak/>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E9F4B9D"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其他豆制品：苯甲酸及其钠盐（以苯甲酸计）、山梨酸及其钾盐（以山梨酸计）、脱氢乙酸及其钠盐（以脱氢乙酸计）、糖精钠（以糖精计）、铝的残留含量（干样品，以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024B681" w14:textId="77777777" w:rsidR="002D3060" w:rsidRDefault="0073133B">
      <w:pPr>
        <w:spacing w:line="600" w:lineRule="exact"/>
        <w:ind w:firstLineChars="200" w:firstLine="640"/>
        <w:jc w:val="left"/>
        <w:rPr>
          <w:rFonts w:ascii="黑体" w:eastAsia="黑体" w:hAnsi="黑体" w:cs="Times New Roman"/>
          <w:sz w:val="32"/>
          <w:szCs w:val="32"/>
        </w:rPr>
      </w:pPr>
      <w:bookmarkStart w:id="19" w:name="_Toc11656"/>
      <w:r>
        <w:rPr>
          <w:rFonts w:ascii="黑体" w:eastAsia="黑体" w:hAnsi="黑体" w:cs="Times New Roman" w:hint="eastAsia"/>
          <w:sz w:val="32"/>
          <w:szCs w:val="32"/>
        </w:rPr>
        <w:t>二</w:t>
      </w:r>
      <w:r>
        <w:rPr>
          <w:rFonts w:ascii="黑体" w:eastAsia="黑体" w:hAnsi="黑体" w:cs="Times New Roman"/>
          <w:sz w:val="32"/>
          <w:szCs w:val="32"/>
        </w:rPr>
        <w:t>十一、餐饮食品</w:t>
      </w:r>
      <w:bookmarkEnd w:id="19"/>
    </w:p>
    <w:p w14:paraId="3B7A3EFE"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BCF5EBA"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w:t>
      </w:r>
      <w:r>
        <w:rPr>
          <w:rFonts w:ascii="Times New Roman" w:eastAsia="仿宋_GB2312" w:hAnsi="Times New Roman" w:cs="Times New Roman"/>
          <w:sz w:val="32"/>
          <w:szCs w:val="32"/>
        </w:rPr>
        <w:t>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3D71F836"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84C060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w:t>
      </w:r>
      <w:r>
        <w:rPr>
          <w:rFonts w:ascii="Times New Roman" w:eastAsia="仿宋_GB2312" w:hAnsi="Times New Roman" w:cs="Times New Roman"/>
          <w:sz w:val="32"/>
          <w:szCs w:val="32"/>
        </w:rPr>
        <w:lastRenderedPageBreak/>
        <w:t>山梨酸及其钾盐（以山梨酸计）、糖精钠（以糖精计）。</w:t>
      </w:r>
    </w:p>
    <w:p w14:paraId="778F651F"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油炸面制品（自制）（限油条、油炸油饼）：铝</w:t>
      </w:r>
      <w:r>
        <w:rPr>
          <w:rFonts w:ascii="Times New Roman" w:eastAsia="仿宋_GB2312" w:hAnsi="Times New Roman" w:cs="Times New Roman"/>
          <w:sz w:val="32"/>
          <w:szCs w:val="32"/>
        </w:rPr>
        <w:t>的残留量（干样品，以</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计）。</w:t>
      </w:r>
    </w:p>
    <w:p w14:paraId="532753C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火锅调味料（底料、蘸料）（自制）：罂粟碱、吗啡、可待因、那可丁。</w:t>
      </w:r>
    </w:p>
    <w:p w14:paraId="26C569A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花生及其制品（自制）（指餐饮环节的花生菜品，不包括花生酱）：黄曲霉毒素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7E72471C"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复用餐饮具（餐馆自行消毒）：阴离子合成洗涤剂（以十二烷基苯磺酸钠计）（限采用化学消毒法的餐饮具检测）、大肠菌群。</w:t>
      </w:r>
    </w:p>
    <w:p w14:paraId="011F0685"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酱腌菜（餐饮）（自制）：铅（以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亚硝酸钠计）、二氧化硫残留量、苯甲酸及其钠盐（以苯甲酸计）、山梨酸及其钾盐（以山梨酸计）、脱氢乙酸及其钠盐（以脱氢乙酸计）、防腐剂混合使用时各自用量占其最大使用量的比例之和。</w:t>
      </w:r>
    </w:p>
    <w:p w14:paraId="1E49CDD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汤汁类（餐饮）（自制）：罂粟碱、吗啡、可待因、那可定。</w:t>
      </w:r>
    </w:p>
    <w:p w14:paraId="106AB3C9" w14:textId="77777777" w:rsidR="002D3060" w:rsidRDefault="0073133B">
      <w:pPr>
        <w:spacing w:line="600" w:lineRule="exact"/>
        <w:ind w:firstLineChars="200" w:firstLine="640"/>
        <w:jc w:val="left"/>
        <w:rPr>
          <w:rFonts w:ascii="黑体" w:eastAsia="黑体" w:hAnsi="黑体" w:cs="Times New Roman"/>
          <w:sz w:val="32"/>
          <w:szCs w:val="32"/>
        </w:rPr>
      </w:pPr>
      <w:bookmarkStart w:id="20" w:name="_Toc2877"/>
      <w:r>
        <w:rPr>
          <w:rFonts w:ascii="黑体" w:eastAsia="黑体" w:hAnsi="黑体" w:cs="Times New Roman" w:hint="eastAsia"/>
          <w:sz w:val="32"/>
          <w:szCs w:val="32"/>
        </w:rPr>
        <w:t>二十二</w:t>
      </w:r>
      <w:r>
        <w:rPr>
          <w:rFonts w:ascii="黑体" w:eastAsia="黑体" w:hAnsi="黑体" w:cs="Times New Roman"/>
          <w:sz w:val="32"/>
          <w:szCs w:val="32"/>
        </w:rPr>
        <w:t>、食用农产品</w:t>
      </w:r>
      <w:bookmarkEnd w:id="20"/>
    </w:p>
    <w:p w14:paraId="687FDC9A"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C3EF97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w:t>
      </w:r>
      <w:r>
        <w:rPr>
          <w:rFonts w:ascii="Times New Roman" w:eastAsia="仿宋_GB2312" w:hAnsi="Times New Roman" w:cs="Times New Roman"/>
          <w:sz w:val="32"/>
          <w:szCs w:val="32"/>
        </w:rPr>
        <w:t>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w:t>
      </w:r>
      <w:r>
        <w:rPr>
          <w:rFonts w:ascii="Times New Roman" w:eastAsia="仿宋_GB2312" w:hAnsi="Times New Roman" w:cs="Times New Roman"/>
          <w:sz w:val="32"/>
          <w:szCs w:val="32"/>
        </w:rPr>
        <w:lastRenderedPageBreak/>
        <w:t>示标准和质量要求。</w:t>
      </w:r>
    </w:p>
    <w:p w14:paraId="66F43F03" w14:textId="77777777" w:rsidR="002D3060" w:rsidRDefault="0073133B">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322438F"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486AD41"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鸡肉：挥发性盐基氮、恩诺沙星、沙拉沙星、替米考星、呋喃唑酮代谢物、呋喃西林代谢物、呋喃它酮代谢物、磺胺类（总量）、甲氧</w:t>
      </w:r>
      <w:r>
        <w:rPr>
          <w:rFonts w:ascii="Times New Roman" w:eastAsia="仿宋_GB2312" w:hAnsi="Times New Roman" w:cs="Times New Roman"/>
          <w:sz w:val="32"/>
          <w:szCs w:val="32"/>
        </w:rPr>
        <w:t>苄啶、氯霉素、氟苯尼考、五氯酚酸钠（以五氯酚计）、多西环素、土霉素、金霉素、四环素、甲硝唑、尼卡巴嗪、土霉素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0DB1441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、氯氟氰菊酯和高效氯氟氰菊酯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48E305F"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计）、阿维菌素、敌敌畏、啶虫脒、毒死蜱、多菌灵、二甲戊灵、氟虫腈、腐霉利、甲胺磷、甲拌磷、甲基异柳磷、克百威、乐果、六六六、氯氟氰菊酯和</w:t>
      </w:r>
      <w:r>
        <w:rPr>
          <w:rFonts w:ascii="Times New Roman" w:eastAsia="仿宋_GB2312" w:hAnsi="Times New Roman" w:cs="Times New Roman"/>
          <w:sz w:val="32"/>
          <w:szCs w:val="32"/>
        </w:rPr>
        <w:t>高效氯氟氰菊酯、氯氰菊酯和高效氯氰菊酯、水胺硫磷、辛硫磷、氧乐果、乙酰甲胺磷、异菌脲。</w:t>
      </w:r>
    </w:p>
    <w:p w14:paraId="3DE29CAE"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结球甘蓝：甲胺磷、甲基异柳磷、克百威、灭线磷、</w:t>
      </w:r>
      <w:r>
        <w:rPr>
          <w:rFonts w:ascii="Times New Roman" w:eastAsia="仿宋_GB2312" w:hAnsi="Times New Roman" w:cs="Times New Roman"/>
          <w:sz w:val="32"/>
          <w:szCs w:val="32"/>
        </w:rPr>
        <w:lastRenderedPageBreak/>
        <w:t>氧乐果、乙酰甲胺磷。</w:t>
      </w:r>
    </w:p>
    <w:p w14:paraId="39A195D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计）、阿维菌素、毒死蜱、氟虫腈、甲氨基阿维菌素苯甲酸盐、甲拌磷、克百威、六六六、氯氟氰菊酯和高效氯氟氰菊酯、氯氰菊酯和高效氯氰菊酯、氧乐果。</w:t>
      </w:r>
    </w:p>
    <w:p w14:paraId="06FDBEF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计）、阿维菌素、吡虫啉、啶虫脒、毒死蜱、氟虫腈、甲胺磷、甲拌磷、克百威、乐果、水胺硫磷、氧乐果、乙酰甲胺磷、唑虫酰胺。</w:t>
      </w:r>
    </w:p>
    <w:p w14:paraId="4F9387C8"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w:t>
      </w:r>
      <w:r>
        <w:rPr>
          <w:rFonts w:ascii="Times New Roman" w:eastAsia="仿宋_GB2312" w:hAnsi="Times New Roman" w:cs="Times New Roman"/>
          <w:sz w:val="32"/>
          <w:szCs w:val="32"/>
        </w:rPr>
        <w:t>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吡虫啉、敌敌畏、啶虫脒、毒死蜱、氟虫腈、甲氨基阿维菌素苯甲酸盐、甲胺磷、甲拌磷、甲基异柳磷、克百威、氯氟氰菊酯和高效氯氟氰菊酯、氯氰菊酯和高效氯氰菊酯、水胺硫磷、氧乐果。</w:t>
      </w:r>
    </w:p>
    <w:p w14:paraId="69CCE82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醚甲环唑、敌敌畏、啶虫脒、毒死蜱、二甲戊灵、氟虫腈、甲拌磷、甲基异柳磷、腈菌唑、克百威、乐果、氯氟氰菊酯和高效氯氟氰菊酯、氯氰菊酯和高效氯氰菊酯、马拉硫磷、灭蝇胺、噻虫胺、噻虫嗪、水胺硫磷、辛硫磷、氧乐果、</w:t>
      </w:r>
      <w:r>
        <w:rPr>
          <w:rFonts w:ascii="Times New Roman" w:eastAsia="仿宋_GB2312" w:hAnsi="Times New Roman" w:cs="Times New Roman"/>
          <w:sz w:val="32"/>
          <w:szCs w:val="32"/>
        </w:rPr>
        <w:t>乙酰甲胺磷。</w:t>
      </w:r>
    </w:p>
    <w:p w14:paraId="74F25071"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计）、甲氨基阿维菌素苯甲酸盐、甲胺磷、甲拌磷、甲氰菊酯、克百威、噻虫胺、噻虫嗪、霜霉威和霜霉威盐酸盐、水胺硫磷、氧乐果。</w:t>
      </w:r>
    </w:p>
    <w:p w14:paraId="0F04F511"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计）、倍硫磷、吡</w:t>
      </w:r>
      <w:r>
        <w:rPr>
          <w:rFonts w:ascii="Times New Roman" w:eastAsia="仿宋_GB2312" w:hAnsi="Times New Roman" w:cs="Times New Roman"/>
          <w:sz w:val="32"/>
          <w:szCs w:val="32"/>
        </w:rPr>
        <w:lastRenderedPageBreak/>
        <w:t>虫啉、吡唑醚菌酯、丙溴磷、敌敌畏、啶虫脒、氟虫腈、甲氨基阿维菌素苯甲酸盐、甲胺磷、甲拌磷、克百威、联苯菊酯、氯氟氰菊酯和高效氯氟氰菊酯、氯氰菊酯和高效氯氰菊酯、噻虫胺、噻虫嗪、杀扑磷、水胺硫磷、氧乐果。</w:t>
      </w:r>
    </w:p>
    <w:p w14:paraId="4C3A43F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计）、敌敌畏、毒死蜱、腐霉利、甲胺磷、甲拌磷、克百威、氯氟氰菊酯和高效氯氟</w:t>
      </w:r>
      <w:r>
        <w:rPr>
          <w:rFonts w:ascii="Times New Roman" w:eastAsia="仿宋_GB2312" w:hAnsi="Times New Roman" w:cs="Times New Roman"/>
          <w:sz w:val="32"/>
          <w:szCs w:val="32"/>
        </w:rPr>
        <w:t>氰菊酯、氯氰菊酯和高效氯氰菊酯、烯酰吗啉、溴氰菊酯、氧乐果、乙酰甲胺磷。</w:t>
      </w:r>
    </w:p>
    <w:p w14:paraId="724D92A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黄瓜：阿维菌素、倍硫磷、哒螨灵、敌敌畏、毒死蜱、腐霉利、甲氨基阿维菌素苯甲酸盐、甲拌磷、克百威、噻虫嗪、氧乐果、乙螨唑、异丙威。</w:t>
      </w:r>
    </w:p>
    <w:p w14:paraId="24FFCE3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14:paraId="0495BFDD"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菜豆：吡虫啉、多菌灵、甲胺磷、克百威、氯氟氰菊酯和高效氯氟氰菊酯、灭蝇胺、噻虫胺、水胺硫磷、氧乐果。</w:t>
      </w:r>
    </w:p>
    <w:p w14:paraId="7FEE2C2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计）、克百威、氯氟氰菊酯和高效氯氟氰菊酯、涕灭威。</w:t>
      </w:r>
    </w:p>
    <w:p w14:paraId="6F205D62"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计）、氟虫腈、甲拌磷、乐果、氯氟氰菊酯和高效氯氟氰菊酯。</w:t>
      </w:r>
    </w:p>
    <w:p w14:paraId="47AB5FA1"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计）、吡虫啉、甲</w:t>
      </w:r>
      <w:r>
        <w:rPr>
          <w:rFonts w:ascii="Times New Roman" w:eastAsia="仿宋_GB2312" w:hAnsi="Times New Roman" w:cs="Times New Roman"/>
          <w:sz w:val="32"/>
          <w:szCs w:val="32"/>
        </w:rPr>
        <w:lastRenderedPageBreak/>
        <w:t>拌磷、克百威、氯氟氰菊酯和高效氯氟氰菊酯、氯氰菊酯和高效氯氰菊酯、氯唑磷、噻虫胺、噻虫嗪、氧乐果。</w:t>
      </w:r>
    </w:p>
    <w:p w14:paraId="1480740A"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洋葱：铅（以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计）、多菌灵、二甲戊灵、氟虫腈、毒死蜱、腐霉利、甲拌磷、肟菌酯、啶虫脒、氧乐果、阿维菌素、甲基异柳磷、马拉硫磷、嘧霉胺。</w:t>
      </w:r>
    </w:p>
    <w:p w14:paraId="1EF0613A"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计）、百菌清、苯醚甲环唑、噻虫嗪、毒死蜱、甲拌磷、氧乐果、氯氟氰菊酯和高效氯氟氰菊酯、吡虫啉、噻虫胺、阿维菌素、甲基异柳磷、克百威、水胺硫磷。</w:t>
      </w:r>
    </w:p>
    <w:p w14:paraId="06CEAD6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白</w:t>
      </w:r>
      <w:r>
        <w:rPr>
          <w:rFonts w:ascii="Times New Roman" w:eastAsia="仿宋_GB2312" w:hAnsi="Times New Roman" w:cs="Times New Roman"/>
          <w:sz w:val="32"/>
          <w:szCs w:val="32"/>
        </w:rPr>
        <w:t>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计）、毒死蜱、甲拌磷、氧乐果、氯氟氰菊酯和高效氯氟氰菊酯、吡虫啉、氟虫腈、阿维菌素、甲基异柳磷、克百威、水胺硫磷。</w:t>
      </w:r>
    </w:p>
    <w:p w14:paraId="41DE7519"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西兰花：</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甲拌磷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水胺硫磷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氧乐果、倍硫磷</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氟虫腈、毒死蜱、甲基异柳磷、克百威、对硫磷</w:t>
      </w:r>
      <w:r>
        <w:rPr>
          <w:rFonts w:ascii="Times New Roman" w:eastAsia="仿宋_GB2312" w:hAnsi="Times New Roman" w:cs="Times New Roman" w:hint="eastAsia"/>
          <w:sz w:val="32"/>
          <w:szCs w:val="32"/>
        </w:rPr>
        <w:t>。</w:t>
      </w:r>
    </w:p>
    <w:p w14:paraId="0E3F1A86"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苹果：敌敌畏、啶虫脒、毒死蜱、甲拌磷、克百威、氧乐果。</w:t>
      </w:r>
    </w:p>
    <w:p w14:paraId="25E94360"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梨：吡虫啉、敌敌畏、毒死蜱、多菌灵、克百威、氯氟氰菊酯和高效氯氟氰菊酯、氧乐果、水胺硫磷、苯醚甲环唑、</w:t>
      </w:r>
      <w:r>
        <w:rPr>
          <w:rFonts w:ascii="Times New Roman" w:eastAsia="仿宋_GB2312" w:hAnsi="Times New Roman" w:cs="Times New Roman"/>
          <w:sz w:val="32"/>
          <w:szCs w:val="32"/>
        </w:rPr>
        <w:t>甲基硫菌灵、咪鲜胺和咪鲜胺锰盐。</w:t>
      </w:r>
    </w:p>
    <w:p w14:paraId="00CA724D"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柑、橘：苯醚甲环唑、丙溴磷、克百威、联苯菊酯、氯唑磷、三唑磷、水胺硫磷、氧乐果、氯氟氰菊酯和高效氯</w:t>
      </w:r>
      <w:r>
        <w:rPr>
          <w:rFonts w:ascii="Times New Roman" w:eastAsia="仿宋_GB2312" w:hAnsi="Times New Roman" w:cs="Times New Roman"/>
          <w:sz w:val="32"/>
          <w:szCs w:val="32"/>
        </w:rPr>
        <w:lastRenderedPageBreak/>
        <w:t>氟氰菊酯、甲拌磷、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滴钠盐、狄氏剂、毒死蜱、杀扑磷。</w:t>
      </w:r>
    </w:p>
    <w:p w14:paraId="718F9ED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葡萄：苯醚甲环唑、己唑醇、甲胺磷、克百威、氯氰菊酯和高效氯氰菊酯、嘧霉胺、氰戊菊酯和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氰戊菊酯、霜霉威和霜霉威盐酸盐、辛硫磷、氧乐果、氯氟氰菊酯和高效氯氟氰菊酯、烯酰吗啉、氟虫腈、氯吡脲。</w:t>
      </w:r>
    </w:p>
    <w:p w14:paraId="2DCD2753"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香蕉：苯醚甲环唑、吡唑醚菌酯、多菌灵、氟虫腈、甲拌磷、腈苯唑、吡虫啉、噻虫胺、噻虫嗪、氟环唑、联苯</w:t>
      </w:r>
      <w:r>
        <w:rPr>
          <w:rFonts w:ascii="Times New Roman" w:eastAsia="仿宋_GB2312" w:hAnsi="Times New Roman" w:cs="Times New Roman"/>
          <w:sz w:val="32"/>
          <w:szCs w:val="32"/>
        </w:rPr>
        <w:t>菊酯、烯唑醇、百菌清。</w:t>
      </w:r>
    </w:p>
    <w:p w14:paraId="326A675B"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火龙果：氟虫腈、甲胺磷、克百威、氧乐果。</w:t>
      </w:r>
    </w:p>
    <w:p w14:paraId="370BDD7C"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西瓜：克百威、噻虫嗪、氧乐果、乙酰甲胺磷、苯醚甲环唑。</w:t>
      </w:r>
    </w:p>
    <w:p w14:paraId="5D3CA634" w14:textId="77777777" w:rsidR="002D3060" w:rsidRDefault="0073133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鸡蛋：氯霉素、甲硝唑、地美硝唑、呋喃唑酮代谢物、氟虫腈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日之前的产品按</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判定，生产日期在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日（含）之后的产品按</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AC0EFA8" w14:textId="77777777" w:rsidR="002D3060" w:rsidRDefault="002D3060">
      <w:pPr>
        <w:spacing w:line="600" w:lineRule="exact"/>
        <w:ind w:firstLineChars="200" w:firstLine="643"/>
        <w:rPr>
          <w:rFonts w:ascii="Times New Roman" w:eastAsia="仿宋_GB2312" w:hAnsi="Times New Roman" w:cs="Times New Roman"/>
          <w:b/>
          <w:sz w:val="32"/>
          <w:szCs w:val="32"/>
        </w:rPr>
      </w:pPr>
    </w:p>
    <w:sectPr w:rsidR="002D30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D340" w14:textId="77777777" w:rsidR="0073133B" w:rsidRDefault="0073133B">
      <w:r>
        <w:separator/>
      </w:r>
    </w:p>
  </w:endnote>
  <w:endnote w:type="continuationSeparator" w:id="0">
    <w:p w14:paraId="56DC15D6" w14:textId="77777777" w:rsidR="0073133B" w:rsidRDefault="0073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EndPr/>
    <w:sdtContent>
      <w:p w14:paraId="5898CF6A" w14:textId="77777777" w:rsidR="002D3060" w:rsidRDefault="0073133B">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E69B" w14:textId="77777777" w:rsidR="0073133B" w:rsidRDefault="0073133B">
      <w:r>
        <w:separator/>
      </w:r>
    </w:p>
  </w:footnote>
  <w:footnote w:type="continuationSeparator" w:id="0">
    <w:p w14:paraId="7B32700A" w14:textId="77777777" w:rsidR="0073133B" w:rsidRDefault="0073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3060"/>
    <w:rsid w:val="002D4F20"/>
    <w:rsid w:val="002E1941"/>
    <w:rsid w:val="002E1EA8"/>
    <w:rsid w:val="002E29C6"/>
    <w:rsid w:val="002E319F"/>
    <w:rsid w:val="002E32EC"/>
    <w:rsid w:val="002E368E"/>
    <w:rsid w:val="002E48FB"/>
    <w:rsid w:val="002E6914"/>
    <w:rsid w:val="002F01CE"/>
    <w:rsid w:val="002F3D48"/>
    <w:rsid w:val="002F5C9C"/>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87E30"/>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1CA"/>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33B"/>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AA678B"/>
    <w:rsid w:val="04BF0F8E"/>
    <w:rsid w:val="04F10038"/>
    <w:rsid w:val="05335295"/>
    <w:rsid w:val="05352254"/>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0219FD"/>
    <w:rsid w:val="0F7565D7"/>
    <w:rsid w:val="0F935731"/>
    <w:rsid w:val="0FCB37D0"/>
    <w:rsid w:val="0FD31749"/>
    <w:rsid w:val="0FE871E7"/>
    <w:rsid w:val="102028C9"/>
    <w:rsid w:val="113468A3"/>
    <w:rsid w:val="113A332A"/>
    <w:rsid w:val="113F112A"/>
    <w:rsid w:val="11634E2E"/>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1F147D"/>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3651EB"/>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E218F9"/>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4752D"/>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9C328B4"/>
    <w:rsid w:val="3A071BC0"/>
    <w:rsid w:val="3A60385F"/>
    <w:rsid w:val="3A6F720B"/>
    <w:rsid w:val="3AF637F4"/>
    <w:rsid w:val="3AFE433B"/>
    <w:rsid w:val="3B057CB2"/>
    <w:rsid w:val="3B49787F"/>
    <w:rsid w:val="3B4C61C3"/>
    <w:rsid w:val="3B532B46"/>
    <w:rsid w:val="3B611B38"/>
    <w:rsid w:val="3BC3400B"/>
    <w:rsid w:val="3BD50A25"/>
    <w:rsid w:val="3C517B2A"/>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5AB4EA6"/>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587FE3"/>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516C38"/>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068C4"/>
    <w:rsid w:val="67682068"/>
    <w:rsid w:val="67956D92"/>
    <w:rsid w:val="67977B82"/>
    <w:rsid w:val="67D06B6E"/>
    <w:rsid w:val="67F37CF1"/>
    <w:rsid w:val="67FA45A2"/>
    <w:rsid w:val="683F2744"/>
    <w:rsid w:val="688F39E4"/>
    <w:rsid w:val="68F93649"/>
    <w:rsid w:val="69080022"/>
    <w:rsid w:val="69597983"/>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8B722C"/>
    <w:rsid w:val="6DC878DB"/>
    <w:rsid w:val="6E2E4954"/>
    <w:rsid w:val="6E6667C3"/>
    <w:rsid w:val="6E7C63DD"/>
    <w:rsid w:val="6EA305CE"/>
    <w:rsid w:val="6EAA2402"/>
    <w:rsid w:val="6F0D2769"/>
    <w:rsid w:val="6F2F1B46"/>
    <w:rsid w:val="6F7F7499"/>
    <w:rsid w:val="6F916949"/>
    <w:rsid w:val="6F9D5671"/>
    <w:rsid w:val="6FB10A66"/>
    <w:rsid w:val="6FF15A2D"/>
    <w:rsid w:val="700323D2"/>
    <w:rsid w:val="706F5B8B"/>
    <w:rsid w:val="70A26ABE"/>
    <w:rsid w:val="70BA0007"/>
    <w:rsid w:val="70D71B10"/>
    <w:rsid w:val="71323D41"/>
    <w:rsid w:val="71350A77"/>
    <w:rsid w:val="713F4F3E"/>
    <w:rsid w:val="715036E2"/>
    <w:rsid w:val="71517447"/>
    <w:rsid w:val="71CB4A49"/>
    <w:rsid w:val="71E02BEC"/>
    <w:rsid w:val="725E785F"/>
    <w:rsid w:val="72690234"/>
    <w:rsid w:val="7281737E"/>
    <w:rsid w:val="728952D1"/>
    <w:rsid w:val="72AD584D"/>
    <w:rsid w:val="73B35D6D"/>
    <w:rsid w:val="73B92EEB"/>
    <w:rsid w:val="73CF361C"/>
    <w:rsid w:val="73ED70BF"/>
    <w:rsid w:val="740D5F3F"/>
    <w:rsid w:val="745326DF"/>
    <w:rsid w:val="74694AD3"/>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7544FC"/>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13AEC"/>
  <w15:docId w15:val="{9C2EAC49-8616-4DF1-B29E-C048AC07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2487</Words>
  <Characters>14182</Characters>
  <Application>Microsoft Office Word</Application>
  <DocSecurity>0</DocSecurity>
  <Lines>118</Lines>
  <Paragraphs>33</Paragraphs>
  <ScaleCrop>false</ScaleCrop>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廖妍俨</cp:lastModifiedBy>
  <cp:revision>1690</cp:revision>
  <dcterms:created xsi:type="dcterms:W3CDTF">2020-02-27T03:41:00Z</dcterms:created>
  <dcterms:modified xsi:type="dcterms:W3CDTF">2022-05-30T03:07:00Z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