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3002">
      <w:pPr>
        <w:keepNext/>
        <w:keepLines/>
        <w:overflowPunct w:val="0"/>
        <w:spacing w:line="590" w:lineRule="exact"/>
        <w:outlineLvl w:val="1"/>
        <w:rPr>
          <w:rFonts w:ascii="黑体" w:eastAsia="黑体" w:hAnsi="黑体" w:cs="黑体" w:hint="eastAsia"/>
          <w:color w:val="000000"/>
          <w:sz w:val="32"/>
          <w:szCs w:val="32"/>
        </w:rPr>
      </w:pPr>
      <w:bookmarkStart w:id="0" w:name="_Toc30910"/>
      <w:bookmarkStart w:id="1" w:name="_Toc69115262"/>
      <w:r>
        <w:rPr>
          <w:rFonts w:ascii="黑体" w:eastAsia="黑体" w:hAnsi="黑体" w:cs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件</w:t>
      </w:r>
      <w:bookmarkEnd w:id="0"/>
      <w:bookmarkEnd w:id="1"/>
    </w:p>
    <w:p w:rsidR="00000000" w:rsidRDefault="00113002">
      <w:pPr>
        <w:keepNext/>
        <w:keepLines/>
        <w:overflowPunct w:val="0"/>
        <w:spacing w:line="590" w:lineRule="exact"/>
        <w:ind w:firstLineChars="200" w:firstLine="640"/>
        <w:outlineLvl w:val="1"/>
        <w:rPr>
          <w:rFonts w:eastAsia="仿宋_GB2312"/>
          <w:color w:val="000000"/>
          <w:sz w:val="32"/>
          <w:szCs w:val="32"/>
        </w:rPr>
      </w:pPr>
    </w:p>
    <w:p w:rsidR="00000000" w:rsidRDefault="00113002">
      <w:pPr>
        <w:overflowPunct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西咪替丁注射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制剂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说明书修订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要求</w:t>
      </w:r>
    </w:p>
    <w:p w:rsidR="00000000" w:rsidRDefault="00113002">
      <w:pPr>
        <w:overflowPunct w:val="0"/>
        <w:spacing w:line="590" w:lineRule="exact"/>
        <w:ind w:firstLineChars="200" w:firstLine="880"/>
        <w:rPr>
          <w:rFonts w:eastAsia="仿宋_GB2312"/>
          <w:color w:val="000000"/>
          <w:sz w:val="44"/>
          <w:szCs w:val="44"/>
        </w:rPr>
      </w:pPr>
      <w:bookmarkStart w:id="2" w:name="6730918-6945218-4"/>
      <w:bookmarkStart w:id="3" w:name="6730918-6945218-3"/>
      <w:bookmarkEnd w:id="2"/>
      <w:bookmarkEnd w:id="3"/>
    </w:p>
    <w:p w:rsidR="00000000" w:rsidRDefault="00113002">
      <w:pPr>
        <w:overflowPunct w:val="0"/>
        <w:spacing w:line="590" w:lineRule="exact"/>
        <w:ind w:firstLineChars="200" w:firstLine="640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一、【不良反应】应包含但不限于：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上市后监测到西咪替丁注射制剂以下不良反应</w:t>
      </w:r>
      <w:r>
        <w:rPr>
          <w:rFonts w:eastAsia="仿宋_GB2312"/>
          <w:color w:val="000000"/>
          <w:kern w:val="0"/>
          <w:sz w:val="32"/>
          <w:szCs w:val="32"/>
        </w:rPr>
        <w:t>/</w:t>
      </w:r>
      <w:r>
        <w:rPr>
          <w:rFonts w:eastAsia="仿宋_GB2312"/>
          <w:color w:val="000000"/>
          <w:kern w:val="0"/>
          <w:sz w:val="32"/>
          <w:szCs w:val="32"/>
        </w:rPr>
        <w:t>事件（这些不良反应</w:t>
      </w:r>
      <w:r>
        <w:rPr>
          <w:rFonts w:eastAsia="仿宋_GB2312"/>
          <w:color w:val="000000"/>
          <w:kern w:val="0"/>
          <w:sz w:val="32"/>
          <w:szCs w:val="32"/>
        </w:rPr>
        <w:t>/</w:t>
      </w:r>
      <w:r>
        <w:rPr>
          <w:rFonts w:eastAsia="仿宋_GB2312"/>
          <w:color w:val="000000"/>
          <w:kern w:val="0"/>
          <w:sz w:val="32"/>
          <w:szCs w:val="32"/>
        </w:rPr>
        <w:t>事件来自</w:t>
      </w:r>
      <w:r>
        <w:rPr>
          <w:rFonts w:eastAsia="仿宋_GB2312"/>
          <w:color w:val="000000"/>
          <w:kern w:val="0"/>
          <w:sz w:val="32"/>
          <w:szCs w:val="32"/>
        </w:rPr>
        <w:t>于无法确定样本量的自发报告，难以准确估计其发生频率）：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胃肠损害：恶心、呕吐、腹痛、腹泻、腹胀、口干、口苦。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全身性损害：寒战、发热、胸闷、胸痛、晕厥、乏力、面色苍白、水肿（包括四肢水肿、面部水肿、眶周水肿）。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皮肤及其附件损害：皮疹、斑丘疹、荨麻疹、瘙痒、多汗、出汗、中毒性表皮坏死松解症（</w:t>
      </w:r>
      <w:r>
        <w:rPr>
          <w:rFonts w:eastAsia="仿宋_GB2312"/>
          <w:color w:val="000000"/>
          <w:kern w:val="0"/>
          <w:sz w:val="32"/>
          <w:szCs w:val="32"/>
        </w:rPr>
        <w:t>Toxic Epidermal Necrolysis</w:t>
      </w:r>
      <w:r>
        <w:rPr>
          <w:rFonts w:eastAsia="仿宋_GB2312"/>
          <w:color w:val="000000"/>
          <w:kern w:val="0"/>
          <w:sz w:val="32"/>
          <w:szCs w:val="32"/>
        </w:rPr>
        <w:t>）。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神经系统损害：头晕、头痛、抽搐、麻木、言语不清、眩晕、震颤、意识模糊、锥体外系反应。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心血管系统损害：心悸、紫绀、血压下降、心动过缓、心动过速、房室传导阻滞。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呼</w:t>
      </w:r>
      <w:r>
        <w:rPr>
          <w:rFonts w:eastAsia="仿宋_GB2312"/>
          <w:color w:val="000000"/>
          <w:kern w:val="0"/>
          <w:sz w:val="32"/>
          <w:szCs w:val="32"/>
        </w:rPr>
        <w:t>吸系统反应：呼吸困难、呼吸急促、气短、咳嗽、咽喉不适、喉头水肿。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免疫功能紊乱和感染：过敏反应、过敏样反应、过敏性休克。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血管损害和出凝血障碍：潮红、静脉炎、血小板减少、过敏性紫癜。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lastRenderedPageBreak/>
        <w:t>精神障碍：嗜睡、烦躁、幻觉、精神异常、精神障碍。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用药部位损害：用药部位红肿、疼痛、瘙痒。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肝胆损害：肝功能异常、转氨酶升高、黄疸。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泌尿系统：尿频、尿潴留、肾功能异常。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血液系统损害：白细胞减少、粒细胞减少、骨髓抑制。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生殖系统损害：性欲减退、男性乳房胀大、阳痿。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二、【禁忌症】应包含但不限于：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本品能透过胎盘屏障，并能进入</w:t>
      </w:r>
      <w:r>
        <w:rPr>
          <w:rFonts w:eastAsia="仿宋_GB2312"/>
          <w:color w:val="000000"/>
          <w:kern w:val="0"/>
          <w:sz w:val="32"/>
          <w:szCs w:val="32"/>
        </w:rPr>
        <w:t>乳汁，引起胎儿和婴儿肝功能障碍，孕妇及哺乳期妇女禁用。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三、【注意事项】应包含但不限于：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用药期间应注意监测肝、肾功能和血常规。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本品可透过血脑屏障，具有一定的神经毒性。引起中毒症状的血药浓度多在</w:t>
      </w: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μ</w:t>
      </w:r>
      <w:r>
        <w:rPr>
          <w:rFonts w:eastAsia="仿宋_GB2312"/>
          <w:color w:val="000000"/>
          <w:kern w:val="0"/>
          <w:sz w:val="32"/>
          <w:szCs w:val="32"/>
        </w:rPr>
        <w:t>g/m</w:t>
      </w:r>
      <w:r>
        <w:rPr>
          <w:rFonts w:eastAsia="仿宋_GB2312"/>
          <w:color w:val="000000"/>
          <w:kern w:val="0"/>
          <w:sz w:val="32"/>
          <w:szCs w:val="32"/>
        </w:rPr>
        <w:t>l</w:t>
      </w:r>
      <w:r>
        <w:rPr>
          <w:rFonts w:eastAsia="仿宋_GB2312"/>
          <w:color w:val="000000"/>
          <w:kern w:val="0"/>
          <w:sz w:val="32"/>
          <w:szCs w:val="32"/>
        </w:rPr>
        <w:t>,</w:t>
      </w:r>
      <w:r>
        <w:rPr>
          <w:rFonts w:eastAsia="仿宋_GB2312"/>
          <w:color w:val="000000"/>
          <w:kern w:val="0"/>
          <w:sz w:val="32"/>
          <w:szCs w:val="32"/>
        </w:rPr>
        <w:t>而且多发生于老年人、幼儿或肝肾功能不全的患者。出现神经毒性后，一般只需适当减少剂量即可消失，用拟胆碱药毒扁豆碱治疗，其症状可得到改善；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应避免本品与中枢抗胆碱药同时使用，以防加重中枢神经毒性反应。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本药具有抗雄性激素作用，用药剂量较大时可引起男性乳房发育、女性溢乳、性欲减退、阳痿、精子</w:t>
      </w:r>
      <w:r>
        <w:rPr>
          <w:rFonts w:eastAsia="仿宋_GB2312"/>
          <w:color w:val="000000"/>
          <w:kern w:val="0"/>
          <w:sz w:val="32"/>
          <w:szCs w:val="32"/>
        </w:rPr>
        <w:t>计数减少。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5.</w:t>
      </w:r>
      <w:r>
        <w:rPr>
          <w:rFonts w:eastAsia="仿宋_GB2312"/>
          <w:color w:val="000000"/>
          <w:kern w:val="0"/>
          <w:sz w:val="32"/>
          <w:szCs w:val="32"/>
        </w:rPr>
        <w:t>用本品时应禁用咖啡因及含咖啡因的饮料。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6.</w:t>
      </w:r>
      <w:r>
        <w:rPr>
          <w:rFonts w:eastAsia="仿宋_GB2312"/>
          <w:color w:val="000000"/>
          <w:kern w:val="0"/>
          <w:sz w:val="32"/>
          <w:szCs w:val="32"/>
        </w:rPr>
        <w:t>突然停药，可能导致慢性消化性溃疡穿孔，可能为停用后反跳的高酸度所致。故完成治疗后尚需继续服药（每晚</w:t>
      </w:r>
      <w:r>
        <w:rPr>
          <w:rFonts w:eastAsia="仿宋_GB2312"/>
          <w:color w:val="000000"/>
          <w:kern w:val="0"/>
          <w:sz w:val="32"/>
          <w:szCs w:val="32"/>
        </w:rPr>
        <w:t>400mg</w:t>
      </w:r>
      <w:r>
        <w:rPr>
          <w:rFonts w:eastAsia="仿宋_GB2312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3</w:t>
      </w:r>
      <w:r>
        <w:rPr>
          <w:rFonts w:eastAsia="仿宋_GB2312"/>
          <w:color w:val="000000"/>
          <w:kern w:val="0"/>
          <w:sz w:val="32"/>
          <w:szCs w:val="32"/>
        </w:rPr>
        <w:t>个月。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7.</w:t>
      </w:r>
      <w:r>
        <w:rPr>
          <w:rFonts w:eastAsia="仿宋_GB2312"/>
          <w:color w:val="000000"/>
          <w:kern w:val="0"/>
          <w:sz w:val="32"/>
          <w:szCs w:val="32"/>
        </w:rPr>
        <w:t>对诊断的干扰：胃液隐血试验可出现假阳性；血液水杨酸浓度、血清肌酐、催乳素、氨基转移酶等浓度均可能增高；甲状旁腺激素浓度则可能降低。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8.</w:t>
      </w:r>
      <w:r>
        <w:rPr>
          <w:rFonts w:eastAsia="仿宋_GB2312"/>
          <w:color w:val="000000"/>
          <w:kern w:val="0"/>
          <w:sz w:val="32"/>
          <w:szCs w:val="32"/>
        </w:rPr>
        <w:t>下列情况应慎用：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）老年人慎用。用药间隔时间可延长，剂量酌减。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）儿童慎用。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）严重呼吸系统疾患，心、肝、肾功能不全者慎用。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eastAsia="仿宋_GB2312"/>
          <w:color w:val="000000"/>
          <w:kern w:val="0"/>
          <w:sz w:val="32"/>
          <w:szCs w:val="32"/>
        </w:rPr>
        <w:t>）慢性炎症，如系统性红斑狼疮（</w:t>
      </w:r>
      <w:r>
        <w:rPr>
          <w:rFonts w:eastAsia="仿宋_GB2312"/>
          <w:color w:val="000000"/>
          <w:kern w:val="0"/>
          <w:sz w:val="32"/>
          <w:szCs w:val="32"/>
        </w:rPr>
        <w:t>SLE</w:t>
      </w:r>
      <w:r>
        <w:rPr>
          <w:rFonts w:eastAsia="仿宋_GB2312"/>
          <w:color w:val="000000"/>
          <w:kern w:val="0"/>
          <w:sz w:val="32"/>
          <w:szCs w:val="32"/>
        </w:rPr>
        <w:t>），西咪替丁的</w:t>
      </w:r>
      <w:r>
        <w:rPr>
          <w:rFonts w:eastAsia="仿宋_GB2312"/>
          <w:color w:val="000000"/>
          <w:kern w:val="0"/>
          <w:sz w:val="32"/>
          <w:szCs w:val="32"/>
        </w:rPr>
        <w:t>骨髓毒性可能增高。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）器质性脑病慎用。</w:t>
      </w: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000000" w:rsidRDefault="00113002">
      <w:pPr>
        <w:overflowPunct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（注：说明书其他内容如与上述修订要求不一致的，应当一并进行修订。）</w:t>
      </w:r>
    </w:p>
    <w:p w:rsidR="00000000" w:rsidRDefault="00113002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113002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113002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113002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113002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113002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113002" w:rsidRDefault="00113002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  <w:bookmarkStart w:id="4" w:name="_GoBack"/>
      <w:bookmarkEnd w:id="4"/>
    </w:p>
    <w:sectPr w:rsidR="00113002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02" w:rsidRDefault="00113002">
      <w:r>
        <w:separator/>
      </w:r>
    </w:p>
  </w:endnote>
  <w:endnote w:type="continuationSeparator" w:id="0">
    <w:p w:rsidR="00113002" w:rsidRDefault="0011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F639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2540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13002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6391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VjkoD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113002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F6391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F639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13002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6391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113002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</w:instrText>
                    </w:r>
                    <w:r>
                      <w:rPr>
                        <w:sz w:val="28"/>
                        <w:szCs w:val="28"/>
                      </w:rPr>
                      <w:instrText xml:space="preserve">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F6391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02" w:rsidRDefault="00113002">
      <w:r>
        <w:separator/>
      </w:r>
    </w:p>
  </w:footnote>
  <w:footnote w:type="continuationSeparator" w:id="0">
    <w:p w:rsidR="00113002" w:rsidRDefault="00113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13002"/>
    <w:rsid w:val="00157D65"/>
    <w:rsid w:val="00164368"/>
    <w:rsid w:val="00186786"/>
    <w:rsid w:val="001B61C4"/>
    <w:rsid w:val="001C492C"/>
    <w:rsid w:val="001D3923"/>
    <w:rsid w:val="001D7B00"/>
    <w:rsid w:val="001F3FB0"/>
    <w:rsid w:val="001F6391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13A44"/>
    <w:rsid w:val="00D53A64"/>
    <w:rsid w:val="00D61B72"/>
    <w:rsid w:val="00D8797B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FD57489"/>
    <w:rsid w:val="1FF31586"/>
    <w:rsid w:val="23FF39FB"/>
    <w:rsid w:val="267FAFA1"/>
    <w:rsid w:val="2A8D465A"/>
    <w:rsid w:val="2D7A678C"/>
    <w:rsid w:val="36DFC46B"/>
    <w:rsid w:val="3E6E6AC0"/>
    <w:rsid w:val="3EF18EDA"/>
    <w:rsid w:val="43E2636A"/>
    <w:rsid w:val="4B0D8DD7"/>
    <w:rsid w:val="4C1A048F"/>
    <w:rsid w:val="4F3FC001"/>
    <w:rsid w:val="591D3208"/>
    <w:rsid w:val="5D843639"/>
    <w:rsid w:val="5F297A5F"/>
    <w:rsid w:val="5FBB4B05"/>
    <w:rsid w:val="63E446CD"/>
    <w:rsid w:val="63EF29EA"/>
    <w:rsid w:val="6BDB8F3E"/>
    <w:rsid w:val="736F71FB"/>
    <w:rsid w:val="77BDE7AF"/>
    <w:rsid w:val="77F73835"/>
    <w:rsid w:val="77FF27BA"/>
    <w:rsid w:val="7BDB554B"/>
    <w:rsid w:val="7BFF3C57"/>
    <w:rsid w:val="7C779287"/>
    <w:rsid w:val="7D5D2E3E"/>
    <w:rsid w:val="7DFD4873"/>
    <w:rsid w:val="7EBAC431"/>
    <w:rsid w:val="7ED62E8A"/>
    <w:rsid w:val="7F7F536F"/>
    <w:rsid w:val="7FAE13AF"/>
    <w:rsid w:val="7FBE1DED"/>
    <w:rsid w:val="7FBFE168"/>
    <w:rsid w:val="7FCF03EE"/>
    <w:rsid w:val="7FD7B5C9"/>
    <w:rsid w:val="7FF2CD7C"/>
    <w:rsid w:val="7FFC14E6"/>
    <w:rsid w:val="8D7551B3"/>
    <w:rsid w:val="ADCE418B"/>
    <w:rsid w:val="B3BCB9E0"/>
    <w:rsid w:val="B7E71083"/>
    <w:rsid w:val="B7FEE208"/>
    <w:rsid w:val="BEFDFC37"/>
    <w:rsid w:val="BFF2339C"/>
    <w:rsid w:val="CDAD94A4"/>
    <w:rsid w:val="DFF9D803"/>
    <w:rsid w:val="E77505AC"/>
    <w:rsid w:val="E7F3A79A"/>
    <w:rsid w:val="EBFFCFB1"/>
    <w:rsid w:val="EDDD837C"/>
    <w:rsid w:val="EE6643DA"/>
    <w:rsid w:val="F7AB86E0"/>
    <w:rsid w:val="F7BF0E0F"/>
    <w:rsid w:val="F7DFE27A"/>
    <w:rsid w:val="FAF54C98"/>
    <w:rsid w:val="FBB7B230"/>
    <w:rsid w:val="FDED4639"/>
    <w:rsid w:val="FD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036A39-1B5C-4C4D-AFD0-E10C26C8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988</Characters>
  <Application>Microsoft Office Word</Application>
  <DocSecurity>0</DocSecurity>
  <Lines>8</Lines>
  <Paragraphs>2</Paragraphs>
  <ScaleCrop>false</ScaleCrop>
  <Company>Xtzj.Com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2022-01-12T17:04:00Z</cp:lastPrinted>
  <dcterms:created xsi:type="dcterms:W3CDTF">2022-01-12T08:59:00Z</dcterms:created>
  <dcterms:modified xsi:type="dcterms:W3CDTF">2022-01-12T08:59:00Z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