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本次检验项目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食用农产品</w:t>
      </w:r>
      <w:bookmarkStart w:id="0" w:name="_GoBack"/>
      <w:bookmarkEnd w:id="0"/>
    </w:p>
    <w:p>
      <w:pPr>
        <w:tabs>
          <w:tab w:val="left" w:pos="1680"/>
        </w:tabs>
        <w:spacing w:line="560" w:lineRule="exact"/>
        <w:ind w:left="6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 GB 2762-2017《食品安全国家标准 食品中污染物限量》，GB 2760-2014《食品安全国家标准 食品添加剂使用标准》，GB 2763-2016《食品安全国家标准 食品中农药最大残留限量》，国家食品药品监督管理总局 农业部 国家卫生和计划生育委员会关于豆芽生产过程中禁止使用6-苄基腺嘌呤等物质的公告（2015 年第 11 号）,GB 22556-2008 等标准和指标的要求。</w:t>
      </w:r>
    </w:p>
    <w:p>
      <w:pPr>
        <w:tabs>
          <w:tab w:val="left" w:pos="1680"/>
        </w:tabs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1、菜薹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克百威、阿维菌素、氟虫腈、啶虫脒、甲氨基阿维菌素苯甲酸盐、甲胺磷、甲拌磷、甲基异柳磷、联苯菊酯、氯氰菊酯和高效氯氰菊酯、氧乐果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韭菜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阿维菌素、氟虫腈、敌敌畏、啶虫脒、毒死蜱、多菌灵、二甲戊灵、腐霉利、镉（以Cd计）、甲胺磷、甲拌磷、甲基异柳磷、氯氟氰菊酯和高效氯氟氰菊酯、氯氰菊酯和高效氯氰菊酯、灭线磷、铅（以Pb计）、水胺硫磷、肟菌酯、辛硫磷、氧乐果、乙酰甲胺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水果类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柑、橘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克百威、苯醚甲环唑、丙溴磷、甲拌磷、联苯菊酯、氯氟氰菊酯和高效氯氟氰菊酯、氯唑磷、三唑磷、杀虫脒、水胺硫磷、氧乐果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、梨抽检项目为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克百威、吡虫啉、敌敌畏、毒死蜱、多菌灵、氯氟氰菊酯和高效氯氟氰菊酯、水胺硫磷、氧乐果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氟硅唑、克百威、苯醚甲环唑、敌敌畏、多菌灵、甲胺磷、溴氰菊酯、氧乐果。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畜禽肉及副产品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1、鸡肉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恩诺沙星（以恩诺沙星和环丙沙星之和计）、金刚烷胺、尼卡巴嗪、沙拉沙星、呋喃它酮代谢物、呋喃西林代谢物、呋喃唑酮代谢物、氟苯尼考（以氟苯尼考和氟苯尼考胺之和计）、磺胺类（总量）、甲氧苄啶、氯霉素、替米考星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牛肉抽检项目为恩诺沙星（以恩诺沙星和环丙沙星之和计）、水分、地塞米松、多西环素（强力霉素）、呋喃西林代谢物、呋喃唑酮代谢物、氟苯尼考（以氟苯尼考与氟苯尼考胺之和计）、磺胺类（总量）、甲氧苄啶、克伦特罗、莱克多巴胺、林可霉素、氯霉素、沙丁胺醇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3、其他畜肉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抽检项目为呋喃唑酮代谢物、氟苯尼考（以氟苯尼考与氟苯尼考胺之和计）、克伦特罗、莱克多巴胺、氯霉素、沙丁胺醇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4、其他禽副产品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抽检项目为氯霉素、五氯酚酸钠、呋喃妥因代谢物、呋喃西林代谢物、呋喃唑酮代谢物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5、其他禽肉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抽检项目为恩诺沙星（以恩诺沙星和环丙沙星之和计）、呋喃唑酮代谢物、氟苯尼考（以氟苯尼考与氟苯尼考胺之和计）、磺胺类（总量）、氯霉素、土霉素/金霉素/四环素（组合含量）、五氯酚酸钠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6、鸭肉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恩诺沙星（以恩诺沙星和环丙沙星之和计）、金刚烷胺、多西环素（强力霉素）、呋喃它酮代谢物、呋喃妥因代谢物、呋喃唑酮代谢物、氟苯尼考（以氟苯尼考与氟苯尼考胺之和计）、甲硝唑、甲氧苄啶、氯霉素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羊肉抽检项目为恩诺沙星（以恩诺沙星和环丙沙星之和计）、水分、呋喃唑酮代谢物、氟苯尼考（以氟苯尼考与氟苯尼考胺之和计）、磺胺类（总量）、克伦特罗、莱克多巴胺、林可霉素、铅（以Pb计）、沙丁胺醇、土霉素/金霉素/四环素（组合含量）、五氯酚酸钠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猪肝抽检项目为克伦特罗、莱克多巴胺、氯霉素、沙丁胺醇、五氯酚酸钠、多西环素（强力霉素）、恩诺沙星（以恩诺沙星与环丙沙星之和计)、呋喃西林代谢物、呋喃唑酮代谢物、氟苯尼考（以氟苯尼考和氟苯尼考胺之和计）、镉（以Cd计）、磺胺类（总量）、甲氧苄啶、土霉素/金霉素/四环素（组合含量）、总砷（以As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猪肉抽检项目为甲硝唑、利巴韦林、氯丙嗪、水分、地塞米松、多西环素（强力霉素）、恩诺沙星（以恩诺沙星与环丙沙星之和计)、呋喃妥因代谢物、呋喃西林代谢物、呋喃唑酮代谢物、氟苯尼考（氟苯尼考和氟苯尼考胺之和）、磺胺类（总量）、甲氧苄啶、克伦特罗、喹乙醇、莱克多巴胺、氯霉素、沙丁胺醇、替米考星、土霉素/金霉素/四环素（组合含量）、五氯酚酸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水产品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1、淡水鱼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磺胺类（总量）、挥发性盐基氮、氯氰菊酯、溴氰菊酯、地西泮、氟苯尼考（氟苯尼考和氟苯尼考胺之和）、恩诺沙星（以恩诺沙星与环丙沙星之和计）、呋喃西林代谢物、呋喃唑酮代谢物、甲氧苄啶、孔雀石绿（以孔雀石绿和隐色孔雀石绿之和计）、氯霉素、五氯酚酸钠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2、海水鱼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磺胺类（总量）、挥发性盐基氮、甲硝唑、恩诺沙星（以恩诺沙星与环丙沙星之和计）、呋喃西林代谢物、呋喃唑酮代谢物、镉（以Cd计）、甲氧苄啶、孔雀石绿（以孔雀石绿和隐色孔雀石绿之和计）、氯霉素、土霉素/金霉素/四环素（组合含量）、五氯酚酸钠。</w:t>
      </w:r>
    </w:p>
    <w:p>
      <w:pPr>
        <w:spacing w:line="600" w:lineRule="exact"/>
        <w:ind w:firstLine="641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鲜蛋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抽检依据是GB 2763-2016《食品安全国家标准 食品中农药最大残留限量》、GB 2762-2017《食品安全国家标准 食品中污染物限量》等标准和指标的要求。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鸡蛋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抽检项目为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甲硝唑、磺胺类（总量）、恩诺沙星（以恩诺沙星与环丙沙星之和计)、氟苯尼考、甲砜霉素、氯霉素。</w:t>
      </w: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67368"/>
    <w:multiLevelType w:val="singleLevel"/>
    <w:tmpl w:val="3D5673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B"/>
    <w:rsid w:val="00156626"/>
    <w:rsid w:val="00260D3E"/>
    <w:rsid w:val="002A1B81"/>
    <w:rsid w:val="002E0BCF"/>
    <w:rsid w:val="0030011C"/>
    <w:rsid w:val="003B26F5"/>
    <w:rsid w:val="004662EE"/>
    <w:rsid w:val="005B56D8"/>
    <w:rsid w:val="005C521A"/>
    <w:rsid w:val="00607314"/>
    <w:rsid w:val="00624E64"/>
    <w:rsid w:val="006701C1"/>
    <w:rsid w:val="006C323B"/>
    <w:rsid w:val="006F066D"/>
    <w:rsid w:val="0089085F"/>
    <w:rsid w:val="008B71C2"/>
    <w:rsid w:val="00A01086"/>
    <w:rsid w:val="00A452FD"/>
    <w:rsid w:val="00A6752A"/>
    <w:rsid w:val="00CF0F67"/>
    <w:rsid w:val="00D418D6"/>
    <w:rsid w:val="00E23AE1"/>
    <w:rsid w:val="00F15EE1"/>
    <w:rsid w:val="00F420E1"/>
    <w:rsid w:val="03364EAD"/>
    <w:rsid w:val="04566D97"/>
    <w:rsid w:val="04803136"/>
    <w:rsid w:val="05D0180D"/>
    <w:rsid w:val="0C957DCB"/>
    <w:rsid w:val="12D72A26"/>
    <w:rsid w:val="16C77004"/>
    <w:rsid w:val="19A33F45"/>
    <w:rsid w:val="1C4C4312"/>
    <w:rsid w:val="1CAB580E"/>
    <w:rsid w:val="1EB15448"/>
    <w:rsid w:val="1F7F0ECF"/>
    <w:rsid w:val="2B9B01A2"/>
    <w:rsid w:val="2C8C18BB"/>
    <w:rsid w:val="2E914AB2"/>
    <w:rsid w:val="2F4D2E80"/>
    <w:rsid w:val="32933A4F"/>
    <w:rsid w:val="3A4C2603"/>
    <w:rsid w:val="3ADA7D41"/>
    <w:rsid w:val="3F5A422A"/>
    <w:rsid w:val="4404150A"/>
    <w:rsid w:val="4912092E"/>
    <w:rsid w:val="4CE54D31"/>
    <w:rsid w:val="50EB3365"/>
    <w:rsid w:val="535C6782"/>
    <w:rsid w:val="5A555858"/>
    <w:rsid w:val="5F4B31C0"/>
    <w:rsid w:val="60CD0BB3"/>
    <w:rsid w:val="60DD3FAD"/>
    <w:rsid w:val="63566A15"/>
    <w:rsid w:val="6448127E"/>
    <w:rsid w:val="64C34EDF"/>
    <w:rsid w:val="66301548"/>
    <w:rsid w:val="66D4466A"/>
    <w:rsid w:val="69EA2E1C"/>
    <w:rsid w:val="6A975347"/>
    <w:rsid w:val="6F64598D"/>
    <w:rsid w:val="72F578EE"/>
    <w:rsid w:val="79976314"/>
    <w:rsid w:val="7CD25C18"/>
    <w:rsid w:val="7CF3311A"/>
    <w:rsid w:val="7D1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sz w:val="18"/>
      <w:szCs w:val="18"/>
    </w:rPr>
  </w:style>
  <w:style w:type="character" w:customStyle="1" w:styleId="9">
    <w:name w:val="页眉 字符"/>
    <w:link w:val="5"/>
    <w:semiHidden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0</TotalTime>
  <ScaleCrop>false</ScaleCrop>
  <LinksUpToDate>false</LinksUpToDate>
  <CharactersWithSpaces>2084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2019-11-12T11:00:00Z</dcterms:created>
  <dc:creator>吕蓓</dc:creator>
  <cp:lastModifiedBy>uos</cp:lastModifiedBy>
  <cp:lastPrinted>2021-12-20T15:07:33Z</cp:lastPrinted>
  <dcterms:modified xsi:type="dcterms:W3CDTF">2021-12-20T15:07:36Z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DA432E9548F24E3FA95E1829B64856E0</vt:lpwstr>
  </property>
</Properties>
</file>