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 w:cs="仿宋"/>
          <w:color w:val="00000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仿宋"/>
          <w:color w:val="000000"/>
          <w:highlight w:val="none"/>
        </w:rPr>
        <w:t>附件</w:t>
      </w:r>
      <w:r>
        <w:rPr>
          <w:rFonts w:hint="eastAsia" w:ascii="Times New Roman" w:hAnsi="Times New Roman" w:eastAsia="黑体" w:cs="仿宋"/>
          <w:color w:val="000000"/>
          <w:highlight w:val="none"/>
          <w:lang w:val="en-US" w:eastAsia="zh-CN"/>
        </w:rPr>
        <w:t>15</w:t>
      </w:r>
    </w:p>
    <w:p>
      <w:pPr>
        <w:spacing w:line="590" w:lineRule="exact"/>
        <w:rPr>
          <w:rFonts w:hint="default" w:ascii="Times New Roman" w:hAnsi="Times New Roman" w:eastAsia="黑体" w:cs="仿宋"/>
          <w:color w:val="000000"/>
          <w:highlight w:val="none"/>
          <w:lang w:val="en-US" w:eastAsia="zh-CN"/>
        </w:rPr>
      </w:pP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  <w:t>关于部分</w:t>
      </w: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  <w:lang w:eastAsia="zh-CN"/>
        </w:rPr>
        <w:t>抽检项目</w:t>
      </w: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  <w:t>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脱氢乙酸及其钠盐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highlight w:val="none"/>
        </w:rPr>
        <w:t>脱氢乙酸及其钠盐是一种广谱食品防腐剂，对霉菌、酵母和细菌有较好的抑制作用。《食品安全国家标准 食品添加剂使用标准》（GB 2760—2014）中规定，其他速冻食品中不得检出脱氢乙酸及其钠盐。脱氢乙酸及其钠盐能被人体完全吸收，并能抑制人体内多种氧化酶，规定范围使用情况下脱氢乙酸及其钠盐急性毒性低，但长期大量摄入有可能会引起胆结石，危害人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苯甲酸及其钠盐（以苯甲酸计）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苯甲酸及其钠盐（以苯甲酸计）是食品工业中常用的一种防腐剂，对霉菌、酵母和细菌有较好的抑制作用。《食品安全国家标准 食品添加剂使用标准》（GB 2760-2014）中规定其他速冻食品中不得检出苯甲酸及其钠盐。人体摄入少量的苯甲酸后，苯甲酸与体内的一种氨基酸生成一种无害的新物质，随尿液排出，但如果人体长期摄入检出或超标的苯甲酸及其钠盐食品，可能对会造成肝脏积累性中毒，危害人体正常代谢功能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山梨酸及其钾盐（以山梨酸计）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highlight w:val="none"/>
        </w:rPr>
        <w:t>山梨酸及其钾盐</w:t>
      </w:r>
      <w:r>
        <w:rPr>
          <w:rFonts w:hint="eastAsia" w:ascii="Times New Roman" w:hAnsi="Times New Roman" w:eastAsia="仿宋_GB2312" w:cs="Times New Roman"/>
          <w:color w:val="000000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以山梨酸计</w:t>
      </w:r>
      <w:r>
        <w:rPr>
          <w:rFonts w:hint="eastAsia" w:ascii="Times New Roman" w:hAnsi="Times New Roman" w:eastAsia="仿宋_GB2312" w:cs="Times New Roman"/>
          <w:color w:val="000000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highlight w:val="none"/>
        </w:rPr>
        <w:t>是一种酸性防腐剂，具有较好的抑菌效果和防霉性能，对霉菌、酵母菌和好氧性细菌的生长发育均有抑制作用。山梨酸及其钾盐作为一种常用的相对无毒的食品添加剂，在生物体内可被代谢为二氧化碳和水排出体外。但如果长期食用山梨酸及其钾盐超标的食品，可能会对人体的骨骼生长、肾脏、肝脏健康造成一定影响《食品安全国家标准 食品添加剂使用标准》（GB 2760—2014）中规定速冻调理肉制品及其他速冻食品中不得使用山梨酸。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菌落总数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highlight w:val="none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highlight w:val="none"/>
        </w:rPr>
        <w:t>、</w:t>
      </w:r>
      <w:r>
        <w:rPr>
          <w:rFonts w:hint="eastAsia" w:ascii="Times New Roman" w:hAnsi="Times New Roman" w:eastAsia="黑体"/>
          <w:color w:val="000000"/>
          <w:highlight w:val="none"/>
          <w:lang w:eastAsia="zh-CN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000000"/>
          <w:highlight w:val="none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、有灭菌工艺的产品灭菌不彻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25A7"/>
    <w:rsid w:val="49C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2021-12-20T06:58:00Z</dcterms:created>
  <dc:creator>罗钰珊</dc:creator>
  <cp:lastModifiedBy>罗钰珊</cp:lastModifiedBy>
  <dcterms:modified xsi:type="dcterms:W3CDTF">2021-12-20T07:01:39Z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