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left"/>
        <w:outlineLvl w:val="0"/>
        <w:rPr>
          <w:rFonts w:ascii="Times New Roman" w:hAnsi="Times New Roman" w:eastAsia="仿宋_GB2312" w:cs="Times New Roman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附件1</w:t>
      </w:r>
    </w:p>
    <w:p>
      <w:pPr>
        <w:spacing w:line="720" w:lineRule="exact"/>
        <w:ind w:firstLine="696" w:firstLineChars="200"/>
        <w:jc w:val="center"/>
        <w:rPr>
          <w:rFonts w:ascii="方正小标宋简体" w:hAnsi="黑体" w:eastAsia="方正小标宋简体"/>
          <w:bCs/>
          <w:color w:val="000000" w:themeColor="text1"/>
          <w:spacing w:val="-6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方正小标宋简体" w:hAnsi="黑体" w:eastAsia="方正小标宋简体"/>
          <w:bCs/>
          <w:color w:val="000000" w:themeColor="text1"/>
          <w:spacing w:val="-6"/>
          <w:sz w:val="36"/>
          <w:szCs w:val="36"/>
          <w14:textFill>
            <w14:solidFill>
              <w14:schemeClr w14:val="tx1"/>
            </w14:solidFill>
          </w14:textFill>
        </w:rPr>
        <w:t>本次检验项目</w:t>
      </w:r>
    </w:p>
    <w:p>
      <w:pPr>
        <w:spacing w:line="720" w:lineRule="exact"/>
        <w:ind w:firstLine="616" w:firstLineChars="200"/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肉制品</w:t>
      </w:r>
    </w:p>
    <w:p>
      <w:pPr>
        <w:spacing w:line="720" w:lineRule="exact"/>
        <w:ind w:firstLine="616" w:firstLineChars="200"/>
        <w:rPr>
          <w:rFonts w:ascii="楷体" w:hAnsi="楷体" w:eastAsia="楷体" w:cs="Times New Roman"/>
          <w:bCs/>
          <w:spacing w:val="-6"/>
          <w:sz w:val="32"/>
          <w:szCs w:val="32"/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食品添加剂使用标准》（GB 2760-2014）、《食品安全国家标准 食品中污染物限量》（GB 2762-2017）、《食品安全国家标准 熟肉制品》（GB 2726-2016）、《食品安全国家标准 食品中致病菌限量》（GB 29921-2013）、整顿办函[2011]1号《食品中可能违法添加的非食用物质和易滥用的食品添加剂品种名单(第五批)》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等标准及产品明示标准和指标的要求。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仿宋_GB2312" w:cs="Times New Roman"/>
          <w:spacing w:val="-6"/>
        </w:rPr>
        <w:t xml:space="preserve"> 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肉制品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亚硝酸盐(以亚硝酸钠计，残留量)、铅(以Pb计)、镉(以Cd计)、铬(以Cr计)、总砷(以As计)、苯甲酸及其钠盐(以苯甲酸计)、山梨酸及其钾盐(以山梨酸计)、脱氢乙酸及其钠盐(以脱氢乙酸计)、氯霉素、糖精钠(以糖精计)、单核细胞增生李斯特氏菌、沙门氏菌、金黄色葡萄球菌、大肠菌群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numPr>
          <w:ilvl w:val="0"/>
          <w:numId w:val="1"/>
        </w:num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糕点</w:t>
      </w:r>
    </w:p>
    <w:p>
      <w:p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left="159"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食品添加剂使用标准》（GB 2760-2014）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食品中污染物限量》（GB 2762-2017）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、《食品安全国家标准 食品中致病菌限量》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GB 29921-2013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、《食品安全国家标准 糕点、面包》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GB 7099-2015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firstLine="616" w:firstLineChars="200"/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1.</w:t>
      </w:r>
      <w:r>
        <w:rPr>
          <w:rFonts w:hint="eastAsia"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糕点</w:t>
      </w:r>
      <w:r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抽检项目包括</w:t>
      </w:r>
      <w:r>
        <w:rPr>
          <w:rFonts w:hint="eastAsia"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  <w:lang w:eastAsia="zh-CN"/>
        </w:rPr>
        <w:t>大肠菌群、酸价(以脂肪计)、过氧化值(以脂肪计)、铅(以Pb计)、苯甲酸及其钠盐(以苯甲酸计)、山梨酸及其钾盐(以山梨酸计)、糖精钠(以糖精计)、甜蜜素(以环己基氨基磺酸计)、铝的残留量(干样品，以Al计)、脱氢乙酸及其钠盐(以脱氢乙酸计)、三氯蔗糖、沙门氏菌、金黄色葡萄球菌、霉菌</w:t>
      </w:r>
      <w:r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  <w:lang w:val="en-US" w:eastAsia="zh-CN"/>
        </w:rPr>
        <w:t>14</w:t>
      </w:r>
      <w:r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个指标。</w:t>
      </w:r>
    </w:p>
    <w:p>
      <w:pPr>
        <w:numPr>
          <w:ilvl w:val="0"/>
          <w:numId w:val="1"/>
        </w:num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水果制品</w:t>
      </w:r>
    </w:p>
    <w:p>
      <w:p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left="159"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食品添加剂使用标准》（GB 2760-2014）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食品中污染物限量》（GB 2762-2017）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、《食品安全国家标准 蜜饯》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GB 14884-2016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firstLine="616" w:firstLineChars="200"/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1.</w:t>
      </w:r>
      <w:r>
        <w:rPr>
          <w:rFonts w:hint="eastAsia"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  <w:lang w:val="en-US" w:eastAsia="zh-CN"/>
        </w:rPr>
        <w:t>水果制品</w:t>
      </w:r>
      <w:r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抽检项目包括</w:t>
      </w:r>
      <w:r>
        <w:rPr>
          <w:rFonts w:hint="eastAsia"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  <w:lang w:eastAsia="zh-CN"/>
        </w:rPr>
        <w:t>苯甲酸及其钠盐（以苯甲酸计）、甜蜜素(以环己基氨基磺酸计)、大肠菌群、铅(以Pb计)、山梨酸及其钾盐(以山梨酸计)、糖精钠(以糖精计)、脱氢乙酸及其钠盐(以脱氢乙酸计)、霉菌</w:t>
      </w:r>
      <w:r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等</w:t>
      </w:r>
      <w:r>
        <w:rPr>
          <w:rFonts w:hint="eastAsia"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ascii="Times New Roman" w:hAnsi="Times New Roman" w:eastAsia="仿宋_GB2312" w:cs="Times New Roman"/>
          <w:color w:val="141414"/>
          <w:spacing w:val="-6"/>
          <w:sz w:val="32"/>
          <w:szCs w:val="32"/>
          <w:shd w:val="clear" w:color="auto" w:fill="FFFFFF"/>
        </w:rPr>
        <w:t>个指标。</w:t>
      </w:r>
    </w:p>
    <w:p>
      <w:pPr>
        <w:spacing w:line="720" w:lineRule="exact"/>
        <w:ind w:left="159" w:firstLine="616" w:firstLineChars="200"/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蔬菜制品</w:t>
      </w:r>
    </w:p>
    <w:p>
      <w:p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食品添加剂使用标准》（GB 2760-2014）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食品中污染物限量》（GB 2762-2017）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firstLine="616" w:firstLineChars="200"/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蔬菜制品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抽检项目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苯甲酸及其钠盐（以苯甲酸计）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、铅(以Pb计)、山梨酸及其钾盐(以山梨酸计)、脱氢乙酸及其钠盐(以脱氢乙酸计)、糖精钠(以糖精计)、甜蜜素(以环己基氨基磺酸计)、纽甜、三氯蔗糖、阿斯巴甜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left="159" w:firstLine="616" w:firstLineChars="200"/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highlight w:val="yellow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冷冻饮品</w:t>
      </w:r>
    </w:p>
    <w:p>
      <w:p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GB 2760-2014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）、《冷冻饮品 冰淇淋》（GB/T 31114-2014）、《食品安全国家标准 冷冻饮品和制作料》（GB 2759-2015）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firstLine="616" w:firstLineChars="200"/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冷冻饮品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阿力甜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、蛋白质、糖精钠(以糖精计)、甜蜜素(以环己基氨基磺酸计)、大肠菌群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left="159" w:firstLine="616" w:firstLineChars="200"/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粮食加工品</w:t>
      </w:r>
    </w:p>
    <w:p>
      <w:p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firstLine="616" w:firstLineChars="200"/>
        <w:rPr>
          <w:rFonts w:ascii="仿宋_GB2312" w:hAnsi="仿宋_GB2312" w:eastAsia="仿宋_GB2312" w:cs="仿宋_GB2312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食品添加剂使用标准》（GB 2760-2014）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720" w:lineRule="exact"/>
        <w:ind w:left="159" w:firstLine="616" w:firstLineChars="200"/>
        <w:rPr>
          <w:rFonts w:ascii="楷体" w:hAnsi="楷体" w:eastAsia="楷体" w:cs="Times New Roman"/>
          <w:bCs/>
          <w:spacing w:val="-6"/>
          <w:sz w:val="32"/>
          <w:szCs w:val="32"/>
        </w:rPr>
      </w:pPr>
      <w:r>
        <w:rPr>
          <w:rFonts w:hint="eastAsia" w:ascii="楷体" w:hAnsi="楷体" w:eastAsia="楷体" w:cs="Times New Roman"/>
          <w:bCs/>
          <w:spacing w:val="-6"/>
          <w:sz w:val="32"/>
          <w:szCs w:val="32"/>
        </w:rPr>
        <w:t>（二）检验项目</w:t>
      </w:r>
    </w:p>
    <w:p>
      <w:pPr>
        <w:widowControl/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粮食加工品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脱氢乙酸及其钠盐(以脱氢乙酸计)、糖精钠(以糖精计)、苯甲酸及其钠盐(以苯甲酸计)、山梨酸及其钾盐(以山梨酸计)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left="159" w:firstLine="616" w:firstLineChars="200"/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豆制品</w:t>
      </w:r>
    </w:p>
    <w:p>
      <w:p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食品添加剂使用标准》（GB 2760-2014）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食品中污染物限量》（GB 2762-2017）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left="159" w:firstLine="616" w:firstLineChars="200"/>
        <w:rPr>
          <w:rFonts w:ascii="楷体" w:hAnsi="楷体" w:eastAsia="楷体" w:cs="Times New Roman"/>
          <w:bCs/>
          <w:spacing w:val="-6"/>
          <w:sz w:val="32"/>
          <w:szCs w:val="32"/>
        </w:rPr>
      </w:pPr>
      <w:r>
        <w:rPr>
          <w:rFonts w:hint="eastAsia" w:ascii="楷体" w:hAnsi="楷体" w:eastAsia="楷体" w:cs="Times New Roman"/>
          <w:bCs/>
          <w:spacing w:val="-6"/>
          <w:sz w:val="32"/>
          <w:szCs w:val="32"/>
        </w:rPr>
        <w:t>（二）检验项目</w:t>
      </w:r>
    </w:p>
    <w:p>
      <w:pPr>
        <w:widowControl/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豆制品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抽检项目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铅(以Pb计)、苯甲酸及其钠盐(以苯甲酸计)、山梨酸及其钾盐(以山梨酸计)、脱氢乙酸及其钠盐(以脱氢乙酸计)、铝的残留量(干样品，以Al计)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left="159" w:firstLine="616" w:firstLineChars="200"/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饮料</w:t>
      </w:r>
    </w:p>
    <w:p>
      <w:p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《食品安全国家标准 饮用天然矿泉水》（GB 8537-2018）、《食品安全国家标准 食品中污染物限量》（GB 2762-2017）、《食品安全国家标准 包装饮用水》（GB 19298-2014）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left="159" w:firstLine="616" w:firstLineChars="200"/>
        <w:rPr>
          <w:rFonts w:ascii="楷体" w:hAnsi="楷体" w:eastAsia="楷体" w:cs="Times New Roman"/>
          <w:bCs/>
          <w:spacing w:val="-6"/>
          <w:sz w:val="32"/>
          <w:szCs w:val="32"/>
        </w:rPr>
      </w:pPr>
      <w:r>
        <w:rPr>
          <w:rFonts w:hint="eastAsia" w:ascii="楷体" w:hAnsi="楷体" w:eastAsia="楷体" w:cs="Times New Roman"/>
          <w:bCs/>
          <w:spacing w:val="-6"/>
          <w:sz w:val="32"/>
          <w:szCs w:val="32"/>
        </w:rPr>
        <w:t>（二）检验项目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饮料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大肠菌群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、溴酸盐、硝酸盐(以NO₃⁻计)、锑、铜绿假单胞菌、镍、亚硝酸盐(以NO₂⁻计)、耗氧量(以O₂计)、余氯(游离氯)、锶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spacing w:line="720" w:lineRule="exact"/>
        <w:ind w:left="159" w:firstLine="616" w:firstLineChars="200"/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保健食品</w:t>
      </w:r>
    </w:p>
    <w:p>
      <w:pPr>
        <w:spacing w:line="720" w:lineRule="exact"/>
        <w:ind w:left="159" w:firstLine="616" w:firstLineChars="200"/>
        <w:rPr>
          <w:rFonts w:ascii="黑体" w:hAnsi="黑体" w:eastAsia="黑体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bCs/>
          <w:spacing w:val="-6"/>
          <w:sz w:val="32"/>
          <w:szCs w:val="32"/>
        </w:rPr>
        <w:t>（一）抽检依据</w:t>
      </w:r>
    </w:p>
    <w:p>
      <w:pPr>
        <w:spacing w:line="720" w:lineRule="exact"/>
        <w:ind w:firstLine="616" w:firstLineChars="200"/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抽检依据是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食品中污染物限量》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GB 2762-2017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）、《食品安全国家标准 保健食品》（GB 16740-2014）、《食品安全国家标准 饮料》（GB 7101-2015）、《食品安全国家标准 食醋》（GB 2719-2018）、《食品安全国家标准 食品中致病菌限量》（GB 29921-2013）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等标准及产品明示标准和质量要求，相关的法律法规、部门规章和规定。</w:t>
      </w:r>
    </w:p>
    <w:p>
      <w:pPr>
        <w:spacing w:line="720" w:lineRule="exact"/>
        <w:ind w:left="159" w:firstLine="616" w:firstLineChars="200"/>
        <w:rPr>
          <w:rFonts w:ascii="楷体" w:hAnsi="楷体" w:eastAsia="楷体" w:cs="Times New Roman"/>
          <w:bCs/>
          <w:spacing w:val="-6"/>
          <w:sz w:val="32"/>
          <w:szCs w:val="32"/>
        </w:rPr>
      </w:pPr>
      <w:r>
        <w:rPr>
          <w:rFonts w:hint="eastAsia" w:ascii="楷体" w:hAnsi="楷体" w:eastAsia="楷体" w:cs="Times New Roman"/>
          <w:bCs/>
          <w:spacing w:val="-6"/>
          <w:sz w:val="32"/>
          <w:szCs w:val="32"/>
        </w:rPr>
        <w:t>（二）检验项目</w:t>
      </w:r>
    </w:p>
    <w:p>
      <w:pPr>
        <w:ind w:firstLine="616" w:firstLineChars="200"/>
        <w:rPr>
          <w:spacing w:val="-6"/>
        </w:rPr>
      </w:pP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保健食品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抽检项目包括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大肠菌群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、菌落总数、金黄色葡萄球菌、沙门氏菌、铅(以Pb计)、总砷(以As计)、总汞(以Hg计)、酵母、霉菌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仿宋_GB2312" w:cs="Times New Roman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个指标。</w:t>
      </w:r>
    </w:p>
    <w:p>
      <w:pPr>
        <w:ind w:firstLine="396" w:firstLineChars="200"/>
        <w:rPr>
          <w:spacing w:val="-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FC3168-2BF9-4DCE-B622-C1D04A36440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6B9CBDC-AD8D-4BEE-98B6-FFDDC081408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42A45013-1316-48FD-A999-1CBFE24A9A3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2E77646-C844-44EF-938C-FA27434FDD3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45CD6"/>
    <w:multiLevelType w:val="singleLevel"/>
    <w:tmpl w:val="20C45CD6"/>
    <w:lvl w:ilvl="0" w:tentative="0">
      <w:start w:val="2"/>
      <w:numFmt w:val="chineseCounting"/>
      <w:suff w:val="nothing"/>
      <w:lvlText w:val="%1、"/>
      <w:lvlJc w:val="left"/>
      <w:pPr>
        <w:ind w:left="16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01E"/>
    <w:rsid w:val="000014DD"/>
    <w:rsid w:val="00007B2A"/>
    <w:rsid w:val="00042004"/>
    <w:rsid w:val="00055B74"/>
    <w:rsid w:val="0007646D"/>
    <w:rsid w:val="0009511B"/>
    <w:rsid w:val="000B285D"/>
    <w:rsid w:val="00160DA3"/>
    <w:rsid w:val="00166F06"/>
    <w:rsid w:val="001B6B86"/>
    <w:rsid w:val="001D5823"/>
    <w:rsid w:val="001F2556"/>
    <w:rsid w:val="00265DA2"/>
    <w:rsid w:val="00281629"/>
    <w:rsid w:val="002829BF"/>
    <w:rsid w:val="00290D58"/>
    <w:rsid w:val="002A022B"/>
    <w:rsid w:val="002C1C29"/>
    <w:rsid w:val="002D6C35"/>
    <w:rsid w:val="00311D1D"/>
    <w:rsid w:val="003760FB"/>
    <w:rsid w:val="003763C0"/>
    <w:rsid w:val="003966CC"/>
    <w:rsid w:val="003E5FC7"/>
    <w:rsid w:val="0045502F"/>
    <w:rsid w:val="004562E6"/>
    <w:rsid w:val="0046125E"/>
    <w:rsid w:val="004770E7"/>
    <w:rsid w:val="0048681C"/>
    <w:rsid w:val="005705D0"/>
    <w:rsid w:val="00571970"/>
    <w:rsid w:val="00582790"/>
    <w:rsid w:val="005A5FB7"/>
    <w:rsid w:val="006030F6"/>
    <w:rsid w:val="00603C30"/>
    <w:rsid w:val="00640B85"/>
    <w:rsid w:val="00641991"/>
    <w:rsid w:val="0068107E"/>
    <w:rsid w:val="006B7023"/>
    <w:rsid w:val="006D0F63"/>
    <w:rsid w:val="00750C11"/>
    <w:rsid w:val="007A5980"/>
    <w:rsid w:val="00857284"/>
    <w:rsid w:val="00867CC1"/>
    <w:rsid w:val="00904921"/>
    <w:rsid w:val="009778E9"/>
    <w:rsid w:val="009A6362"/>
    <w:rsid w:val="009B678B"/>
    <w:rsid w:val="00A30560"/>
    <w:rsid w:val="00A626C5"/>
    <w:rsid w:val="00A72131"/>
    <w:rsid w:val="00AA14BB"/>
    <w:rsid w:val="00B04055"/>
    <w:rsid w:val="00B241B8"/>
    <w:rsid w:val="00B27031"/>
    <w:rsid w:val="00B312C4"/>
    <w:rsid w:val="00B37A32"/>
    <w:rsid w:val="00B528B1"/>
    <w:rsid w:val="00B56E76"/>
    <w:rsid w:val="00B93295"/>
    <w:rsid w:val="00C139F9"/>
    <w:rsid w:val="00CB7CC6"/>
    <w:rsid w:val="00CE101E"/>
    <w:rsid w:val="00CF144A"/>
    <w:rsid w:val="00D25DEE"/>
    <w:rsid w:val="00D40A2E"/>
    <w:rsid w:val="00DB3A0A"/>
    <w:rsid w:val="00DD06BA"/>
    <w:rsid w:val="00E87532"/>
    <w:rsid w:val="00F368CF"/>
    <w:rsid w:val="00F657E7"/>
    <w:rsid w:val="00F80CCB"/>
    <w:rsid w:val="00F831CF"/>
    <w:rsid w:val="00F92BCC"/>
    <w:rsid w:val="00FC7EBA"/>
    <w:rsid w:val="0BFF65AE"/>
    <w:rsid w:val="1E97679B"/>
    <w:rsid w:val="21614525"/>
    <w:rsid w:val="2BCD6C89"/>
    <w:rsid w:val="2FB96CCA"/>
    <w:rsid w:val="35BA009A"/>
    <w:rsid w:val="36282FE3"/>
    <w:rsid w:val="36FD5201"/>
    <w:rsid w:val="37897FF4"/>
    <w:rsid w:val="3A354BDC"/>
    <w:rsid w:val="409229ED"/>
    <w:rsid w:val="448314F8"/>
    <w:rsid w:val="45160299"/>
    <w:rsid w:val="4B792602"/>
    <w:rsid w:val="4CFA65C0"/>
    <w:rsid w:val="52696DC1"/>
    <w:rsid w:val="537D0B55"/>
    <w:rsid w:val="6BED4862"/>
    <w:rsid w:val="709E2325"/>
    <w:rsid w:val="7B614C24"/>
    <w:rsid w:val="7E6D5CA0"/>
    <w:rsid w:val="7FF4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semiHidden/>
    <w:unhideWhenUsed/>
    <w:qFormat/>
    <w:uiPriority w:val="99"/>
    <w:pPr>
      <w:ind w:left="100" w:leftChars="200" w:hanging="200" w:hanging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fontstyle01"/>
    <w:basedOn w:val="7"/>
    <w:qFormat/>
    <w:uiPriority w:val="0"/>
    <w:rPr>
      <w:rFonts w:hint="eastAsia" w:ascii="宋体" w:hAnsi="宋体" w:eastAsia="宋体"/>
      <w:color w:val="000000"/>
      <w:sz w:val="20"/>
      <w:szCs w:val="2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3">
    <w:name w:val="fontstyle11"/>
    <w:basedOn w:val="7"/>
    <w:qFormat/>
    <w:uiPriority w:val="0"/>
    <w:rPr>
      <w:rFonts w:hint="default" w:ascii="TimesNewRomanPSMT" w:hAnsi="TimesNewRomanPSMT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1253</Words>
  <Characters>7147</Characters>
  <Lines>59</Lines>
  <Paragraphs>16</Paragraphs>
  <TotalTime>39</TotalTime>
  <ScaleCrop>false</ScaleCrop>
  <LinksUpToDate>false</LinksUpToDate>
  <CharactersWithSpaces>8384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2019-10-14T02:26:00Z</dcterms:created>
  <dc:creator>user</dc:creator>
  <cp:lastModifiedBy>Summer野</cp:lastModifiedBy>
  <dcterms:modified xsi:type="dcterms:W3CDTF">2021-12-07T08:23:42Z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BF2F38A00E32493888742AEC47DB2848</vt:lpwstr>
  </property>
</Properties>
</file>