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line="576" w:lineRule="exact"/>
        <w:jc w:val="left"/>
        <w:rPr>
          <w:rFonts w:hint="default" w:ascii="Times New Roman" w:hAnsi="Times New Roman" w:eastAsia="方正黑体_GBK" w:cs="Times New Roman"/>
          <w:kern w:val="0"/>
          <w:sz w:val="32"/>
          <w:szCs w:val="32"/>
        </w:rPr>
      </w:pPr>
      <w:r>
        <w:rPr>
          <w:rFonts w:hint="default" w:ascii="Times New Roman" w:hAnsi="Times New Roman" w:eastAsia="方正黑体_GBK" w:cs="Times New Roman"/>
          <w:kern w:val="0"/>
          <w:sz w:val="32"/>
          <w:szCs w:val="32"/>
        </w:rPr>
        <w:t>市市场监管局发布</w:t>
      </w:r>
    </w:p>
    <w:p>
      <w:pPr>
        <w:spacing w:line="576" w:lineRule="exact"/>
        <w:jc w:val="center"/>
        <w:rPr>
          <w:rFonts w:hint="default" w:ascii="Times New Roman" w:hAnsi="Times New Roman" w:eastAsia="方正小标宋_GBK" w:cs="Times New Roman"/>
          <w:kern w:val="0"/>
          <w:sz w:val="44"/>
          <w:szCs w:val="44"/>
        </w:rPr>
      </w:pPr>
    </w:p>
    <w:p>
      <w:pPr>
        <w:spacing w:line="720" w:lineRule="exact"/>
        <w:jc w:val="center"/>
        <w:rPr>
          <w:rFonts w:hint="default" w:ascii="Times New Roman" w:hAnsi="Times New Roman" w:eastAsia="华文中宋" w:cs="Times New Roman"/>
          <w:b/>
          <w:bCs/>
          <w:sz w:val="36"/>
        </w:rPr>
      </w:pPr>
      <w:r>
        <w:rPr>
          <w:rFonts w:hint="default" w:ascii="Times New Roman" w:hAnsi="Times New Roman" w:eastAsia="方正小标宋_GBK" w:cs="Times New Roman"/>
          <w:kern w:val="0"/>
          <w:sz w:val="44"/>
          <w:szCs w:val="44"/>
        </w:rPr>
        <w:t>危险化学品产品质量监督抽查分析报告</w:t>
      </w:r>
    </w:p>
    <w:p>
      <w:pPr>
        <w:spacing w:line="700" w:lineRule="exact"/>
        <w:jc w:val="center"/>
        <w:rPr>
          <w:rFonts w:hint="default" w:ascii="Times New Roman" w:hAnsi="Times New Roman" w:eastAsia="华文中宋" w:cs="Times New Roman"/>
          <w:b/>
          <w:bCs/>
          <w:sz w:val="36"/>
        </w:rPr>
      </w:pPr>
    </w:p>
    <w:p>
      <w:pPr>
        <w:widowControl/>
        <w:shd w:val="clear" w:color="auto" w:fill="FFFFFF"/>
        <w:spacing w:line="576" w:lineRule="exact"/>
        <w:ind w:firstLine="640" w:firstLineChars="20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2021年</w:t>
      </w:r>
      <w:r>
        <w:rPr>
          <w:rFonts w:hint="default" w:ascii="Times New Roman" w:hAnsi="Times New Roman" w:eastAsia="方正仿宋_GBK" w:cs="Times New Roman"/>
          <w:sz w:val="32"/>
          <w:szCs w:val="32"/>
          <w:lang w:eastAsia="zh-CN"/>
        </w:rPr>
        <w:t>下半年</w:t>
      </w:r>
      <w:r>
        <w:rPr>
          <w:rFonts w:hint="default" w:ascii="Times New Roman" w:hAnsi="Times New Roman" w:eastAsia="方正仿宋_GBK" w:cs="Times New Roman"/>
          <w:sz w:val="32"/>
          <w:szCs w:val="32"/>
        </w:rPr>
        <w:t>，盐城市市场监督管理局委托盐城市产品质量监督检验所</w:t>
      </w:r>
      <w:r>
        <w:rPr>
          <w:rFonts w:hint="eastAsia" w:eastAsia="方正仿宋_GBK" w:cs="Times New Roman"/>
          <w:sz w:val="32"/>
          <w:szCs w:val="32"/>
          <w:lang w:eastAsia="zh-CN"/>
        </w:rPr>
        <w:t>，</w:t>
      </w:r>
      <w:r>
        <w:rPr>
          <w:rFonts w:hint="default" w:ascii="Times New Roman" w:hAnsi="Times New Roman" w:eastAsia="方正仿宋_GBK" w:cs="Times New Roman"/>
          <w:sz w:val="32"/>
          <w:szCs w:val="32"/>
        </w:rPr>
        <w:t>对盐城市</w:t>
      </w:r>
      <w:r>
        <w:rPr>
          <w:rFonts w:hint="default" w:ascii="Times New Roman" w:hAnsi="Times New Roman" w:eastAsia="方正仿宋_GBK" w:cs="Times New Roman"/>
          <w:sz w:val="32"/>
          <w:szCs w:val="32"/>
          <w:lang w:val="en-US" w:eastAsia="zh-CN"/>
        </w:rPr>
        <w:t>内</w:t>
      </w:r>
      <w:r>
        <w:rPr>
          <w:rFonts w:hint="default" w:ascii="Times New Roman" w:hAnsi="Times New Roman" w:eastAsia="方正仿宋_GBK" w:cs="Times New Roman"/>
          <w:sz w:val="32"/>
          <w:szCs w:val="32"/>
        </w:rPr>
        <w:t>化工企业生产的危险化学品产品进行了监督抽查。本次任务计划抽查1</w:t>
      </w:r>
      <w:r>
        <w:rPr>
          <w:rFonts w:hint="default" w:ascii="Times New Roman" w:hAnsi="Times New Roman" w:eastAsia="方正仿宋_GBK" w:cs="Times New Roman"/>
          <w:sz w:val="32"/>
          <w:szCs w:val="32"/>
          <w:lang w:val="en-US" w:eastAsia="zh-CN"/>
        </w:rPr>
        <w:t>0</w:t>
      </w:r>
      <w:r>
        <w:rPr>
          <w:rFonts w:hint="default" w:ascii="Times New Roman" w:hAnsi="Times New Roman" w:eastAsia="方正仿宋_GBK" w:cs="Times New Roman"/>
          <w:sz w:val="32"/>
          <w:szCs w:val="32"/>
        </w:rPr>
        <w:t>批次，实际抽到6批次，</w:t>
      </w:r>
      <w:r>
        <w:rPr>
          <w:rFonts w:hint="default" w:ascii="Times New Roman" w:hAnsi="Times New Roman" w:eastAsia="方正仿宋_GBK" w:cs="Times New Roman"/>
          <w:sz w:val="32"/>
          <w:szCs w:val="32"/>
          <w:lang w:eastAsia="zh-CN"/>
        </w:rPr>
        <w:t>合格</w:t>
      </w:r>
      <w:r>
        <w:rPr>
          <w:rFonts w:hint="default" w:ascii="Times New Roman" w:hAnsi="Times New Roman" w:eastAsia="方正仿宋_GBK" w:cs="Times New Roman"/>
          <w:sz w:val="32"/>
          <w:szCs w:val="32"/>
          <w:lang w:val="en-US" w:eastAsia="zh-CN"/>
        </w:rPr>
        <w:t>6批次，</w:t>
      </w:r>
      <w:r>
        <w:rPr>
          <w:rFonts w:hint="default" w:ascii="Times New Roman" w:hAnsi="Times New Roman" w:eastAsia="方正仿宋_GBK" w:cs="Times New Roman"/>
          <w:sz w:val="32"/>
          <w:szCs w:val="32"/>
        </w:rPr>
        <w:t>合格率100%。</w:t>
      </w:r>
    </w:p>
    <w:p>
      <w:pPr>
        <w:spacing w:line="576" w:lineRule="exact"/>
        <w:ind w:firstLine="560"/>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一、产品和产业概况</w:t>
      </w:r>
    </w:p>
    <w:p>
      <w:pPr>
        <w:spacing w:line="576" w:lineRule="exact"/>
        <w:ind w:firstLine="560"/>
        <w:rPr>
          <w:rFonts w:hint="default" w:ascii="Times New Roman" w:hAnsi="Times New Roman" w:eastAsia="方正楷体_GBK" w:cs="Times New Roman"/>
          <w:bCs/>
          <w:color w:val="000000"/>
          <w:kern w:val="0"/>
          <w:sz w:val="32"/>
          <w:szCs w:val="32"/>
          <w:lang w:val="en-US" w:eastAsia="zh-CN"/>
        </w:rPr>
      </w:pPr>
      <w:r>
        <w:rPr>
          <w:rFonts w:hint="default" w:ascii="Times New Roman" w:hAnsi="Times New Roman" w:eastAsia="方正楷体_GBK" w:cs="Times New Roman"/>
          <w:bCs/>
          <w:color w:val="000000"/>
          <w:kern w:val="0"/>
          <w:sz w:val="32"/>
          <w:szCs w:val="32"/>
          <w:lang w:val="en-US" w:eastAsia="zh-CN"/>
        </w:rPr>
        <w:t>（一）产品概况</w:t>
      </w:r>
    </w:p>
    <w:p>
      <w:pPr>
        <w:widowControl/>
        <w:shd w:val="clear" w:color="auto" w:fill="FFFFFF"/>
        <w:spacing w:line="576"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危险化学品，是指具有易燃、易爆、有毒、有害和放射性等特性，在运输装卸和储存保管过程中易造成人员伤亡和财产损毁而需要特别保护的化学物品。根据GB 13690-2009《化学品分类和危险性公示通则》，我国将危险化学品按照其理化危险划分为16类，分别为爆炸物、易燃气体、易燃气溶胶、氧化性气体、压力下气体、易燃液体、易燃固体、自反应物质、自燃液体、自燃固体、自热物质、遇水放出易燃气体的物质、氧化性液体、氧化性固体、有机过氧化物、金属腐蚀剂。</w:t>
      </w:r>
    </w:p>
    <w:p>
      <w:pPr>
        <w:widowControl/>
        <w:shd w:val="clear" w:color="auto" w:fill="FFFFFF"/>
        <w:spacing w:line="576" w:lineRule="exact"/>
        <w:ind w:firstLine="640" w:firstLineChars="200"/>
        <w:rPr>
          <w:rFonts w:hint="default" w:ascii="Times New Roman" w:hAnsi="Times New Roman" w:cs="Times New Roman"/>
          <w:szCs w:val="21"/>
        </w:rPr>
      </w:pPr>
      <w:r>
        <w:rPr>
          <w:rFonts w:hint="default" w:ascii="Times New Roman" w:hAnsi="Times New Roman" w:eastAsia="方正仿宋_GBK" w:cs="Times New Roman"/>
          <w:sz w:val="32"/>
          <w:szCs w:val="32"/>
          <w:lang w:val="en-US" w:eastAsia="zh-CN"/>
        </w:rPr>
        <w:t>根据</w:t>
      </w:r>
      <w:r>
        <w:rPr>
          <w:rFonts w:hint="default" w:ascii="Times New Roman" w:hAnsi="Times New Roman" w:eastAsia="方正仿宋_GBK" w:cs="Times New Roman"/>
          <w:sz w:val="32"/>
          <w:szCs w:val="32"/>
        </w:rPr>
        <w:t>《工业产品生产许可证管理</w:t>
      </w:r>
      <w:r>
        <w:rPr>
          <w:rFonts w:hint="default" w:ascii="Times New Roman" w:hAnsi="Times New Roman" w:eastAsia="方正仿宋_GBK" w:cs="Times New Roman"/>
          <w:sz w:val="32"/>
          <w:szCs w:val="32"/>
          <w:lang w:val="en-US" w:eastAsia="zh-CN"/>
        </w:rPr>
        <w:t>细则</w:t>
      </w:r>
      <w:r>
        <w:rPr>
          <w:rFonts w:hint="default" w:ascii="Times New Roman" w:hAnsi="Times New Roman" w:eastAsia="方正仿宋_GBK" w:cs="Times New Roman"/>
          <w:sz w:val="32"/>
          <w:szCs w:val="32"/>
        </w:rPr>
        <w:t>》分为无机产品、有机产品、氯碱产品、工业气体产品、化学试剂产品、染料中间体产品等。本次监督抽查产品主要为副产盐酸。</w:t>
      </w:r>
    </w:p>
    <w:p>
      <w:pPr>
        <w:spacing w:line="576" w:lineRule="exact"/>
        <w:ind w:firstLine="560"/>
        <w:rPr>
          <w:rFonts w:hint="default" w:ascii="Times New Roman" w:hAnsi="Times New Roman" w:eastAsia="方正楷体_GBK" w:cs="Times New Roman"/>
          <w:bCs/>
          <w:color w:val="000000"/>
          <w:kern w:val="0"/>
          <w:sz w:val="32"/>
          <w:szCs w:val="32"/>
          <w:lang w:val="en-US" w:eastAsia="zh-CN"/>
        </w:rPr>
      </w:pPr>
      <w:r>
        <w:rPr>
          <w:rFonts w:hint="default" w:ascii="Times New Roman" w:hAnsi="Times New Roman" w:eastAsia="方正楷体_GBK" w:cs="Times New Roman"/>
          <w:bCs/>
          <w:color w:val="000000"/>
          <w:kern w:val="0"/>
          <w:sz w:val="32"/>
          <w:szCs w:val="32"/>
          <w:lang w:val="en-US" w:eastAsia="zh-CN"/>
        </w:rPr>
        <w:t>（二）产业概况</w:t>
      </w:r>
    </w:p>
    <w:p>
      <w:pPr>
        <w:spacing w:line="576" w:lineRule="exact"/>
        <w:ind w:firstLine="687" w:firstLineChars="214"/>
        <w:rPr>
          <w:rFonts w:hint="default" w:ascii="Times New Roman" w:hAnsi="Times New Roman" w:eastAsia="方正仿宋_GBK" w:cs="Times New Roman"/>
          <w:b/>
          <w:sz w:val="32"/>
          <w:szCs w:val="32"/>
          <w:lang w:val="en-US" w:eastAsia="zh-CN"/>
        </w:rPr>
      </w:pPr>
      <w:r>
        <w:rPr>
          <w:rFonts w:hint="default" w:ascii="Times New Roman" w:hAnsi="Times New Roman" w:eastAsia="方正仿宋_GBK" w:cs="Times New Roman"/>
          <w:b/>
          <w:sz w:val="32"/>
          <w:szCs w:val="32"/>
          <w:lang w:val="en-US" w:eastAsia="zh-CN"/>
        </w:rPr>
        <w:t>1.产业分布</w:t>
      </w:r>
    </w:p>
    <w:p>
      <w:pPr>
        <w:widowControl/>
        <w:shd w:val="clear" w:color="auto" w:fill="FFFFFF"/>
        <w:spacing w:line="576" w:lineRule="exact"/>
        <w:ind w:firstLine="640" w:firstLineChars="200"/>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我国对危化品实行工业产品</w:t>
      </w:r>
      <w:r>
        <w:rPr>
          <w:rFonts w:hint="default" w:ascii="Times New Roman" w:hAnsi="Times New Roman" w:eastAsia="方正仿宋_GBK" w:cs="Times New Roman"/>
          <w:sz w:val="32"/>
          <w:szCs w:val="32"/>
        </w:rPr>
        <w:t>生产许可证管理</w:t>
      </w:r>
      <w:r>
        <w:rPr>
          <w:rFonts w:hint="default" w:ascii="Times New Roman" w:hAnsi="Times New Roman" w:eastAsia="方正仿宋_GBK" w:cs="Times New Roman"/>
          <w:sz w:val="32"/>
          <w:szCs w:val="32"/>
          <w:lang w:val="en-US" w:eastAsia="zh-CN"/>
        </w:rPr>
        <w:t>制度，</w:t>
      </w:r>
      <w:r>
        <w:rPr>
          <w:rFonts w:hint="default" w:ascii="Times New Roman" w:hAnsi="Times New Roman" w:eastAsia="方正仿宋_GBK" w:cs="Times New Roman"/>
          <w:sz w:val="32"/>
          <w:szCs w:val="32"/>
        </w:rPr>
        <w:t>危险化学品生产企业约为10000余家，主要分布在山东、江苏、广东等地。</w:t>
      </w:r>
      <w:r>
        <w:rPr>
          <w:rFonts w:hint="default" w:ascii="Times New Roman" w:hAnsi="Times New Roman" w:eastAsia="方正仿宋_GBK" w:cs="Times New Roman"/>
          <w:sz w:val="32"/>
          <w:szCs w:val="32"/>
          <w:lang w:val="en-US" w:eastAsia="zh-CN"/>
        </w:rPr>
        <w:t>截至2019年，</w:t>
      </w:r>
      <w:r>
        <w:rPr>
          <w:rFonts w:hint="default" w:ascii="Times New Roman" w:hAnsi="Times New Roman" w:eastAsia="方正仿宋_GBK" w:cs="Times New Roman"/>
          <w:sz w:val="32"/>
          <w:szCs w:val="32"/>
        </w:rPr>
        <w:t>江苏省共发放危险化学品生产许可证</w:t>
      </w:r>
      <w:r>
        <w:rPr>
          <w:rFonts w:hint="default" w:ascii="Times New Roman" w:hAnsi="Times New Roman" w:eastAsia="方正仿宋_GBK" w:cs="Times New Roman"/>
          <w:sz w:val="32"/>
          <w:szCs w:val="32"/>
          <w:lang w:val="en-US" w:eastAsia="zh-CN"/>
        </w:rPr>
        <w:t>约</w:t>
      </w:r>
      <w:r>
        <w:rPr>
          <w:rFonts w:hint="default" w:ascii="Times New Roman" w:hAnsi="Times New Roman" w:eastAsia="方正仿宋_GBK" w:cs="Times New Roman"/>
          <w:sz w:val="32"/>
          <w:szCs w:val="32"/>
        </w:rPr>
        <w:t>742张。盐城市大丰区、滨海县、响水县化工园区有20多家生产企业，主要以中小型企业为主。由于贮运有一定要求，危险化学品运输成本较高，销售半径小，区域性强。</w:t>
      </w:r>
    </w:p>
    <w:p>
      <w:pPr>
        <w:spacing w:line="576" w:lineRule="exact"/>
        <w:ind w:firstLine="687" w:firstLineChars="214"/>
        <w:rPr>
          <w:rFonts w:hint="default" w:ascii="Times New Roman" w:hAnsi="Times New Roman" w:eastAsia="方正仿宋_GBK" w:cs="Times New Roman"/>
          <w:b/>
          <w:sz w:val="32"/>
          <w:szCs w:val="32"/>
          <w:lang w:val="en-US" w:eastAsia="zh-CN"/>
        </w:rPr>
      </w:pPr>
      <w:r>
        <w:rPr>
          <w:rFonts w:hint="default" w:ascii="Times New Roman" w:hAnsi="Times New Roman" w:eastAsia="方正仿宋_GBK" w:cs="Times New Roman"/>
          <w:b/>
          <w:sz w:val="32"/>
          <w:szCs w:val="32"/>
          <w:lang w:val="en-US" w:eastAsia="zh-CN"/>
        </w:rPr>
        <w:t>2.销售渠道</w:t>
      </w:r>
    </w:p>
    <w:p>
      <w:pPr>
        <w:widowControl/>
        <w:shd w:val="clear" w:color="auto" w:fill="FFFFFF"/>
        <w:spacing w:line="576"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危险化学品主要是作为化工原料生产的，没有固成的市场主流品牌，且以线下销售为主。</w:t>
      </w:r>
    </w:p>
    <w:p>
      <w:pPr>
        <w:spacing w:line="576" w:lineRule="exact"/>
        <w:ind w:firstLine="560"/>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二、检验检测概况</w:t>
      </w:r>
    </w:p>
    <w:p>
      <w:pPr>
        <w:spacing w:line="576" w:lineRule="exact"/>
        <w:ind w:firstLine="560"/>
        <w:rPr>
          <w:rFonts w:hint="default" w:ascii="Times New Roman" w:hAnsi="Times New Roman" w:eastAsia="方正楷体_GBK" w:cs="Times New Roman"/>
          <w:bCs/>
          <w:kern w:val="0"/>
          <w:sz w:val="32"/>
          <w:szCs w:val="32"/>
        </w:rPr>
      </w:pPr>
      <w:r>
        <w:rPr>
          <w:rFonts w:hint="default" w:ascii="Times New Roman" w:hAnsi="Times New Roman" w:eastAsia="方正楷体_GBK" w:cs="Times New Roman"/>
          <w:bCs/>
          <w:color w:val="000000"/>
          <w:kern w:val="0"/>
          <w:sz w:val="32"/>
          <w:szCs w:val="32"/>
          <w:lang w:val="en-US" w:eastAsia="zh-CN"/>
        </w:rPr>
        <w:t>（一）样品来源</w:t>
      </w:r>
    </w:p>
    <w:p>
      <w:pPr>
        <w:spacing w:line="576" w:lineRule="exact"/>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本次抽查危险化学品6批次，全部从生产企业抽取。具体样品来源情况见表1。</w:t>
      </w:r>
    </w:p>
    <w:p>
      <w:pPr>
        <w:spacing w:line="576" w:lineRule="exact"/>
        <w:jc w:val="center"/>
        <w:rPr>
          <w:rFonts w:hint="default" w:ascii="Times New Roman" w:hAnsi="Times New Roman" w:eastAsia="方正仿宋_GBK" w:cs="Times New Roman"/>
          <w:sz w:val="28"/>
          <w:szCs w:val="28"/>
        </w:rPr>
      </w:pPr>
      <w:r>
        <w:rPr>
          <w:rFonts w:hint="default" w:ascii="Times New Roman" w:hAnsi="Times New Roman" w:eastAsia="方正仿宋_GBK" w:cs="Times New Roman"/>
          <w:b/>
          <w:sz w:val="28"/>
          <w:szCs w:val="28"/>
          <w:lang w:val="en-US" w:eastAsia="zh-CN"/>
        </w:rPr>
        <w:t>表1 样品来源表</w:t>
      </w:r>
    </w:p>
    <w:tbl>
      <w:tblPr>
        <w:tblStyle w:val="6"/>
        <w:tblW w:w="0" w:type="auto"/>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08"/>
        <w:gridCol w:w="1592"/>
        <w:gridCol w:w="2105"/>
        <w:gridCol w:w="19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608" w:type="dxa"/>
            <w:vAlign w:val="center"/>
          </w:tcPr>
          <w:p>
            <w:pPr>
              <w:spacing w:line="576" w:lineRule="exact"/>
              <w:jc w:val="center"/>
              <w:rPr>
                <w:rFonts w:hint="default" w:ascii="Times New Roman" w:hAnsi="Times New Roman" w:eastAsia="方正黑体_GBK" w:cs="Times New Roman"/>
                <w:color w:val="000000"/>
                <w:kern w:val="0"/>
                <w:szCs w:val="22"/>
                <w:lang w:eastAsia="zh-CN"/>
              </w:rPr>
            </w:pPr>
            <w:r>
              <w:rPr>
                <w:rFonts w:hint="default" w:ascii="Times New Roman" w:hAnsi="Times New Roman" w:eastAsia="方正黑体_GBK" w:cs="Times New Roman"/>
                <w:color w:val="000000"/>
                <w:kern w:val="0"/>
                <w:szCs w:val="22"/>
                <w:lang w:eastAsia="zh-CN"/>
              </w:rPr>
              <w:t>产品类别</w:t>
            </w:r>
          </w:p>
        </w:tc>
        <w:tc>
          <w:tcPr>
            <w:tcW w:w="1592" w:type="dxa"/>
            <w:vAlign w:val="center"/>
          </w:tcPr>
          <w:p>
            <w:pPr>
              <w:spacing w:line="576" w:lineRule="exact"/>
              <w:jc w:val="center"/>
              <w:rPr>
                <w:rFonts w:hint="default" w:ascii="Times New Roman" w:hAnsi="Times New Roman" w:eastAsia="方正黑体_GBK" w:cs="Times New Roman"/>
                <w:color w:val="000000"/>
                <w:kern w:val="0"/>
                <w:szCs w:val="22"/>
                <w:lang w:eastAsia="zh-CN"/>
              </w:rPr>
            </w:pPr>
            <w:r>
              <w:rPr>
                <w:rFonts w:hint="default" w:ascii="Times New Roman" w:hAnsi="Times New Roman" w:eastAsia="方正黑体_GBK" w:cs="Times New Roman"/>
                <w:color w:val="000000"/>
                <w:kern w:val="0"/>
                <w:szCs w:val="22"/>
                <w:lang w:eastAsia="zh-CN"/>
              </w:rPr>
              <w:t>样品来源</w:t>
            </w:r>
          </w:p>
        </w:tc>
        <w:tc>
          <w:tcPr>
            <w:tcW w:w="2105" w:type="dxa"/>
            <w:vAlign w:val="center"/>
          </w:tcPr>
          <w:p>
            <w:pPr>
              <w:spacing w:line="576" w:lineRule="exact"/>
              <w:jc w:val="center"/>
              <w:rPr>
                <w:rFonts w:hint="default" w:ascii="Times New Roman" w:hAnsi="Times New Roman" w:eastAsia="方正黑体_GBK" w:cs="Times New Roman"/>
                <w:color w:val="000000"/>
                <w:kern w:val="0"/>
                <w:szCs w:val="22"/>
                <w:lang w:eastAsia="zh-CN"/>
              </w:rPr>
            </w:pPr>
            <w:r>
              <w:rPr>
                <w:rFonts w:hint="default" w:ascii="Times New Roman" w:hAnsi="Times New Roman" w:eastAsia="方正黑体_GBK" w:cs="Times New Roman"/>
                <w:color w:val="000000"/>
                <w:kern w:val="0"/>
                <w:szCs w:val="22"/>
                <w:lang w:eastAsia="zh-CN"/>
              </w:rPr>
              <w:t>样品来源方式</w:t>
            </w:r>
          </w:p>
        </w:tc>
        <w:tc>
          <w:tcPr>
            <w:tcW w:w="1972" w:type="dxa"/>
            <w:vAlign w:val="center"/>
          </w:tcPr>
          <w:p>
            <w:pPr>
              <w:spacing w:line="576" w:lineRule="exact"/>
              <w:jc w:val="center"/>
              <w:rPr>
                <w:rFonts w:hint="default" w:ascii="Times New Roman" w:hAnsi="Times New Roman" w:eastAsia="方正黑体_GBK" w:cs="Times New Roman"/>
                <w:color w:val="000000"/>
                <w:kern w:val="0"/>
                <w:szCs w:val="22"/>
                <w:lang w:eastAsia="zh-CN"/>
              </w:rPr>
            </w:pPr>
            <w:r>
              <w:rPr>
                <w:rFonts w:hint="default" w:ascii="Times New Roman" w:hAnsi="Times New Roman" w:eastAsia="方正黑体_GBK" w:cs="Times New Roman"/>
                <w:color w:val="000000"/>
                <w:kern w:val="0"/>
                <w:szCs w:val="22"/>
                <w:lang w:eastAsia="zh-CN"/>
              </w:rPr>
              <w:t>抽样批次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2608" w:type="dxa"/>
            <w:vAlign w:val="center"/>
          </w:tcPr>
          <w:p>
            <w:pPr>
              <w:spacing w:line="576" w:lineRule="exact"/>
              <w:jc w:val="center"/>
              <w:rPr>
                <w:rFonts w:hint="default" w:ascii="Times New Roman" w:hAnsi="Times New Roman" w:eastAsia="方正仿宋_GBK" w:cs="Times New Roman"/>
                <w:szCs w:val="21"/>
              </w:rPr>
            </w:pPr>
            <w:r>
              <w:rPr>
                <w:rFonts w:hint="default" w:ascii="Times New Roman" w:hAnsi="Times New Roman" w:eastAsia="方正仿宋_GBK" w:cs="Times New Roman"/>
                <w:szCs w:val="21"/>
              </w:rPr>
              <w:t>危险化学品</w:t>
            </w:r>
          </w:p>
        </w:tc>
        <w:tc>
          <w:tcPr>
            <w:tcW w:w="1592" w:type="dxa"/>
            <w:vAlign w:val="center"/>
          </w:tcPr>
          <w:p>
            <w:pPr>
              <w:spacing w:line="576" w:lineRule="exact"/>
              <w:jc w:val="center"/>
              <w:rPr>
                <w:rFonts w:hint="default" w:ascii="Times New Roman" w:hAnsi="Times New Roman" w:eastAsia="方正仿宋_GBK" w:cs="Times New Roman"/>
                <w:szCs w:val="21"/>
              </w:rPr>
            </w:pPr>
            <w:r>
              <w:rPr>
                <w:rFonts w:hint="default" w:ascii="Times New Roman" w:hAnsi="Times New Roman" w:eastAsia="方正仿宋_GBK" w:cs="Times New Roman"/>
                <w:szCs w:val="21"/>
              </w:rPr>
              <w:t>生产企业</w:t>
            </w:r>
          </w:p>
        </w:tc>
        <w:tc>
          <w:tcPr>
            <w:tcW w:w="2105" w:type="dxa"/>
            <w:vAlign w:val="center"/>
          </w:tcPr>
          <w:p>
            <w:pPr>
              <w:spacing w:line="576" w:lineRule="exact"/>
              <w:jc w:val="center"/>
              <w:rPr>
                <w:rFonts w:hint="default" w:ascii="Times New Roman" w:hAnsi="Times New Roman" w:eastAsia="方正仿宋_GBK" w:cs="Times New Roman"/>
                <w:szCs w:val="21"/>
              </w:rPr>
            </w:pPr>
            <w:r>
              <w:rPr>
                <w:rFonts w:hint="default" w:ascii="Times New Roman" w:hAnsi="Times New Roman" w:eastAsia="方正仿宋_GBK" w:cs="Times New Roman"/>
                <w:szCs w:val="21"/>
              </w:rPr>
              <w:t>企业提供</w:t>
            </w:r>
          </w:p>
        </w:tc>
        <w:tc>
          <w:tcPr>
            <w:tcW w:w="1972" w:type="dxa"/>
            <w:vAlign w:val="center"/>
          </w:tcPr>
          <w:p>
            <w:pPr>
              <w:spacing w:line="576" w:lineRule="exact"/>
              <w:jc w:val="center"/>
              <w:rPr>
                <w:rFonts w:hint="default" w:ascii="Times New Roman" w:hAnsi="Times New Roman" w:eastAsia="方正仿宋_GBK" w:cs="Times New Roman"/>
                <w:szCs w:val="21"/>
              </w:rPr>
            </w:pPr>
            <w:r>
              <w:rPr>
                <w:rFonts w:hint="default" w:ascii="Times New Roman" w:hAnsi="Times New Roman" w:eastAsia="方正仿宋_GBK" w:cs="Times New Roman"/>
                <w:szCs w:val="21"/>
              </w:rPr>
              <w:t>6</w:t>
            </w:r>
          </w:p>
        </w:tc>
      </w:tr>
    </w:tbl>
    <w:p>
      <w:pPr>
        <w:spacing w:line="576" w:lineRule="exact"/>
        <w:ind w:firstLine="560"/>
        <w:rPr>
          <w:rFonts w:hint="default" w:ascii="Times New Roman" w:hAnsi="Times New Roman" w:eastAsia="方正楷体_GBK" w:cs="Times New Roman"/>
          <w:bCs/>
          <w:color w:val="000000"/>
          <w:kern w:val="0"/>
          <w:sz w:val="32"/>
          <w:szCs w:val="32"/>
          <w:lang w:val="en-US" w:eastAsia="zh-CN"/>
        </w:rPr>
      </w:pPr>
      <w:r>
        <w:rPr>
          <w:rFonts w:hint="default" w:ascii="Times New Roman" w:hAnsi="Times New Roman" w:eastAsia="方正楷体_GBK" w:cs="Times New Roman"/>
          <w:bCs/>
          <w:color w:val="000000"/>
          <w:kern w:val="0"/>
          <w:sz w:val="32"/>
          <w:szCs w:val="32"/>
          <w:lang w:val="en-US" w:eastAsia="zh-CN"/>
        </w:rPr>
        <w:t>（二）检验检测项目概况</w:t>
      </w:r>
    </w:p>
    <w:p>
      <w:pPr>
        <w:widowControl/>
        <w:shd w:val="clear" w:color="auto" w:fill="FFFFFF"/>
        <w:spacing w:line="576"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本次监督抽查产品主要为副产盐酸，涉及的检验检测项目、方法和判定依据详见表2。</w:t>
      </w:r>
    </w:p>
    <w:p>
      <w:pPr>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rPr>
        <w:br w:type="page"/>
      </w:r>
    </w:p>
    <w:p>
      <w:pPr>
        <w:spacing w:line="576" w:lineRule="exact"/>
        <w:jc w:val="center"/>
        <w:rPr>
          <w:rFonts w:hint="default" w:ascii="Times New Roman" w:hAnsi="Times New Roman" w:eastAsia="方正仿宋_GBK" w:cs="Times New Roman"/>
          <w:b/>
          <w:sz w:val="28"/>
          <w:szCs w:val="28"/>
          <w:lang w:val="en-US" w:eastAsia="zh-CN"/>
        </w:rPr>
      </w:pPr>
      <w:r>
        <w:rPr>
          <w:rFonts w:hint="default" w:ascii="Times New Roman" w:hAnsi="Times New Roman" w:eastAsia="方正仿宋_GBK" w:cs="Times New Roman"/>
          <w:b/>
          <w:sz w:val="28"/>
          <w:szCs w:val="28"/>
          <w:lang w:val="en-US" w:eastAsia="zh-CN"/>
        </w:rPr>
        <w:t>表2  副产盐酸检验项目</w:t>
      </w:r>
    </w:p>
    <w:tbl>
      <w:tblPr>
        <w:tblStyle w:val="6"/>
        <w:tblW w:w="936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47"/>
        <w:gridCol w:w="3181"/>
        <w:gridCol w:w="2500"/>
        <w:gridCol w:w="30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6" w:hRule="atLeast"/>
          <w:jc w:val="center"/>
        </w:trPr>
        <w:tc>
          <w:tcPr>
            <w:tcW w:w="647" w:type="dxa"/>
            <w:vMerge w:val="restart"/>
            <w:vAlign w:val="center"/>
          </w:tcPr>
          <w:p>
            <w:pPr>
              <w:spacing w:line="240" w:lineRule="auto"/>
              <w:jc w:val="center"/>
              <w:rPr>
                <w:rFonts w:hint="default" w:ascii="Times New Roman" w:hAnsi="Times New Roman" w:eastAsia="方正黑体_GBK" w:cs="Times New Roman"/>
                <w:color w:val="000000"/>
                <w:kern w:val="0"/>
                <w:szCs w:val="22"/>
                <w:lang w:eastAsia="zh-CN"/>
              </w:rPr>
            </w:pPr>
            <w:r>
              <w:rPr>
                <w:rFonts w:hint="default" w:ascii="Times New Roman" w:hAnsi="Times New Roman" w:eastAsia="方正黑体_GBK" w:cs="Times New Roman"/>
                <w:color w:val="000000"/>
                <w:kern w:val="0"/>
                <w:szCs w:val="22"/>
                <w:lang w:eastAsia="zh-CN"/>
              </w:rPr>
              <w:t>序号</w:t>
            </w:r>
          </w:p>
        </w:tc>
        <w:tc>
          <w:tcPr>
            <w:tcW w:w="3181" w:type="dxa"/>
            <w:vMerge w:val="restart"/>
            <w:vAlign w:val="center"/>
          </w:tcPr>
          <w:p>
            <w:pPr>
              <w:spacing w:line="240" w:lineRule="auto"/>
              <w:jc w:val="center"/>
              <w:rPr>
                <w:rFonts w:hint="default" w:ascii="Times New Roman" w:hAnsi="Times New Roman" w:eastAsia="方正黑体_GBK" w:cs="Times New Roman"/>
                <w:color w:val="000000"/>
                <w:kern w:val="0"/>
                <w:szCs w:val="22"/>
                <w:lang w:eastAsia="zh-CN"/>
              </w:rPr>
            </w:pPr>
            <w:r>
              <w:rPr>
                <w:rFonts w:hint="default" w:ascii="Times New Roman" w:hAnsi="Times New Roman" w:eastAsia="方正黑体_GBK" w:cs="Times New Roman"/>
                <w:color w:val="000000"/>
                <w:kern w:val="0"/>
                <w:szCs w:val="22"/>
                <w:lang w:eastAsia="zh-CN"/>
              </w:rPr>
              <w:t>检验项目</w:t>
            </w:r>
          </w:p>
        </w:tc>
        <w:tc>
          <w:tcPr>
            <w:tcW w:w="2500" w:type="dxa"/>
            <w:vMerge w:val="restart"/>
            <w:vAlign w:val="center"/>
          </w:tcPr>
          <w:p>
            <w:pPr>
              <w:spacing w:line="240" w:lineRule="auto"/>
              <w:jc w:val="center"/>
              <w:rPr>
                <w:rFonts w:hint="default" w:ascii="Times New Roman" w:hAnsi="Times New Roman" w:eastAsia="方正黑体_GBK" w:cs="Times New Roman"/>
                <w:color w:val="000000"/>
                <w:kern w:val="0"/>
                <w:szCs w:val="22"/>
                <w:lang w:eastAsia="zh-CN"/>
              </w:rPr>
            </w:pPr>
            <w:r>
              <w:rPr>
                <w:rFonts w:hint="default" w:ascii="Times New Roman" w:hAnsi="Times New Roman" w:eastAsia="方正黑体_GBK" w:cs="Times New Roman"/>
                <w:color w:val="000000"/>
                <w:kern w:val="0"/>
                <w:szCs w:val="22"/>
                <w:lang w:eastAsia="zh-CN"/>
              </w:rPr>
              <w:t>判定依据</w:t>
            </w:r>
          </w:p>
        </w:tc>
        <w:tc>
          <w:tcPr>
            <w:tcW w:w="3041" w:type="dxa"/>
            <w:vMerge w:val="restart"/>
            <w:vAlign w:val="center"/>
          </w:tcPr>
          <w:p>
            <w:pPr>
              <w:spacing w:line="240" w:lineRule="auto"/>
              <w:jc w:val="center"/>
              <w:rPr>
                <w:rFonts w:hint="default" w:ascii="Times New Roman" w:hAnsi="Times New Roman" w:eastAsia="方正黑体_GBK" w:cs="Times New Roman"/>
                <w:color w:val="000000"/>
                <w:kern w:val="0"/>
                <w:szCs w:val="22"/>
                <w:lang w:eastAsia="zh-CN"/>
              </w:rPr>
            </w:pPr>
            <w:r>
              <w:rPr>
                <w:rFonts w:hint="default" w:ascii="Times New Roman" w:hAnsi="Times New Roman" w:eastAsia="方正黑体_GBK" w:cs="Times New Roman"/>
                <w:color w:val="000000"/>
                <w:kern w:val="0"/>
                <w:szCs w:val="22"/>
                <w:lang w:eastAsia="zh-CN"/>
              </w:rPr>
              <w:t>检测方法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jc w:val="center"/>
        </w:trPr>
        <w:tc>
          <w:tcPr>
            <w:tcW w:w="647" w:type="dxa"/>
            <w:vMerge w:val="continue"/>
            <w:tcBorders>
              <w:top w:val="nil"/>
            </w:tcBorders>
            <w:vAlign w:val="center"/>
          </w:tcPr>
          <w:p>
            <w:pPr>
              <w:spacing w:line="576" w:lineRule="exact"/>
              <w:jc w:val="center"/>
              <w:rPr>
                <w:rFonts w:hint="default" w:ascii="Times New Roman" w:hAnsi="Times New Roman" w:eastAsia="方正仿宋_GBK" w:cs="Times New Roman"/>
                <w:szCs w:val="21"/>
              </w:rPr>
            </w:pPr>
          </w:p>
        </w:tc>
        <w:tc>
          <w:tcPr>
            <w:tcW w:w="3181" w:type="dxa"/>
            <w:vMerge w:val="continue"/>
            <w:tcBorders>
              <w:top w:val="nil"/>
            </w:tcBorders>
            <w:vAlign w:val="center"/>
          </w:tcPr>
          <w:p>
            <w:pPr>
              <w:spacing w:line="576" w:lineRule="exact"/>
              <w:jc w:val="center"/>
              <w:rPr>
                <w:rFonts w:hint="default" w:ascii="Times New Roman" w:hAnsi="Times New Roman" w:eastAsia="方正仿宋_GBK" w:cs="Times New Roman"/>
                <w:szCs w:val="21"/>
              </w:rPr>
            </w:pPr>
          </w:p>
        </w:tc>
        <w:tc>
          <w:tcPr>
            <w:tcW w:w="2500" w:type="dxa"/>
            <w:vMerge w:val="continue"/>
            <w:tcBorders>
              <w:top w:val="nil"/>
            </w:tcBorders>
            <w:vAlign w:val="center"/>
          </w:tcPr>
          <w:p>
            <w:pPr>
              <w:spacing w:line="576" w:lineRule="exact"/>
              <w:jc w:val="center"/>
              <w:rPr>
                <w:rFonts w:hint="default" w:ascii="Times New Roman" w:hAnsi="Times New Roman" w:eastAsia="方正仿宋_GBK" w:cs="Times New Roman"/>
                <w:szCs w:val="21"/>
              </w:rPr>
            </w:pPr>
          </w:p>
        </w:tc>
        <w:tc>
          <w:tcPr>
            <w:tcW w:w="3041" w:type="dxa"/>
            <w:vMerge w:val="continue"/>
            <w:tcBorders>
              <w:top w:val="nil"/>
            </w:tcBorders>
            <w:vAlign w:val="center"/>
          </w:tcPr>
          <w:p>
            <w:pPr>
              <w:spacing w:line="576" w:lineRule="exact"/>
              <w:jc w:val="center"/>
              <w:rPr>
                <w:rFonts w:hint="default" w:ascii="Times New Roman" w:hAnsi="Times New Roman" w:eastAsia="方正仿宋_GBK" w:cs="Times New Roman"/>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6" w:hRule="atLeast"/>
          <w:jc w:val="center"/>
        </w:trPr>
        <w:tc>
          <w:tcPr>
            <w:tcW w:w="647" w:type="dxa"/>
            <w:vAlign w:val="center"/>
          </w:tcPr>
          <w:p>
            <w:pPr>
              <w:spacing w:line="576" w:lineRule="exact"/>
              <w:jc w:val="center"/>
              <w:rPr>
                <w:rFonts w:hint="default" w:ascii="Times New Roman" w:hAnsi="Times New Roman" w:eastAsia="方正仿宋_GBK" w:cs="Times New Roman"/>
                <w:szCs w:val="21"/>
              </w:rPr>
            </w:pPr>
            <w:r>
              <w:rPr>
                <w:rFonts w:hint="default" w:ascii="Times New Roman" w:hAnsi="Times New Roman" w:eastAsia="方正仿宋_GBK" w:cs="Times New Roman"/>
                <w:szCs w:val="21"/>
              </w:rPr>
              <w:t>1</w:t>
            </w:r>
          </w:p>
        </w:tc>
        <w:tc>
          <w:tcPr>
            <w:tcW w:w="3181" w:type="dxa"/>
            <w:vAlign w:val="center"/>
          </w:tcPr>
          <w:p>
            <w:pPr>
              <w:jc w:val="center"/>
              <w:rPr>
                <w:rFonts w:hint="default" w:ascii="Times New Roman" w:hAnsi="Times New Roman" w:eastAsia="方正仿宋_GBK" w:cs="Times New Roman"/>
                <w:szCs w:val="21"/>
              </w:rPr>
            </w:pPr>
            <w:r>
              <w:rPr>
                <w:rFonts w:hint="default" w:ascii="Times New Roman" w:hAnsi="Times New Roman" w:cs="Times New Roman"/>
              </w:rPr>
              <w:t>总酸度（HCl）</w:t>
            </w:r>
          </w:p>
        </w:tc>
        <w:tc>
          <w:tcPr>
            <w:tcW w:w="2500" w:type="dxa"/>
            <w:vAlign w:val="center"/>
          </w:tcPr>
          <w:p>
            <w:pPr>
              <w:spacing w:line="576" w:lineRule="exact"/>
              <w:jc w:val="center"/>
              <w:rPr>
                <w:rFonts w:hint="default" w:ascii="Times New Roman" w:hAnsi="Times New Roman" w:eastAsia="方正仿宋_GBK" w:cs="Times New Roman"/>
                <w:szCs w:val="21"/>
              </w:rPr>
            </w:pPr>
            <w:r>
              <w:rPr>
                <w:rFonts w:hint="default" w:ascii="Times New Roman" w:hAnsi="Times New Roman" w:cs="Times New Roman"/>
              </w:rPr>
              <w:t>HG/T 3783-2005</w:t>
            </w:r>
          </w:p>
        </w:tc>
        <w:tc>
          <w:tcPr>
            <w:tcW w:w="3041" w:type="dxa"/>
            <w:vAlign w:val="center"/>
          </w:tcPr>
          <w:p>
            <w:pPr>
              <w:jc w:val="center"/>
              <w:rPr>
                <w:rFonts w:hint="default" w:ascii="Times New Roman" w:hAnsi="Times New Roman" w:eastAsia="方正仿宋_GBK" w:cs="Times New Roman"/>
                <w:szCs w:val="21"/>
              </w:rPr>
            </w:pPr>
            <w:r>
              <w:rPr>
                <w:rFonts w:hint="default" w:ascii="Times New Roman" w:hAnsi="Times New Roman" w:cs="Times New Roman"/>
              </w:rPr>
              <w:t>GB 320-2006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6" w:hRule="atLeast"/>
          <w:jc w:val="center"/>
        </w:trPr>
        <w:tc>
          <w:tcPr>
            <w:tcW w:w="647" w:type="dxa"/>
            <w:vAlign w:val="center"/>
          </w:tcPr>
          <w:p>
            <w:pPr>
              <w:spacing w:line="576" w:lineRule="exact"/>
              <w:jc w:val="center"/>
              <w:rPr>
                <w:rFonts w:hint="default" w:ascii="Times New Roman" w:hAnsi="Times New Roman" w:eastAsia="方正仿宋_GBK" w:cs="Times New Roman"/>
                <w:szCs w:val="21"/>
              </w:rPr>
            </w:pPr>
            <w:r>
              <w:rPr>
                <w:rFonts w:hint="default" w:ascii="Times New Roman" w:hAnsi="Times New Roman" w:eastAsia="方正仿宋_GBK" w:cs="Times New Roman"/>
                <w:szCs w:val="21"/>
              </w:rPr>
              <w:t>2</w:t>
            </w:r>
          </w:p>
        </w:tc>
        <w:tc>
          <w:tcPr>
            <w:tcW w:w="3181" w:type="dxa"/>
            <w:vAlign w:val="center"/>
          </w:tcPr>
          <w:p>
            <w:pPr>
              <w:jc w:val="center"/>
              <w:rPr>
                <w:rFonts w:hint="default" w:ascii="Times New Roman" w:hAnsi="Times New Roman" w:cs="Times New Roman"/>
              </w:rPr>
            </w:pPr>
            <w:r>
              <w:rPr>
                <w:rFonts w:hint="default" w:ascii="Times New Roman" w:hAnsi="Times New Roman" w:cs="Times New Roman"/>
              </w:rPr>
              <w:t>重金属</w:t>
            </w:r>
          </w:p>
          <w:p>
            <w:pPr>
              <w:jc w:val="center"/>
              <w:rPr>
                <w:rFonts w:hint="default" w:ascii="Times New Roman" w:hAnsi="Times New Roman" w:eastAsia="方正仿宋_GBK" w:cs="Times New Roman"/>
                <w:szCs w:val="21"/>
              </w:rPr>
            </w:pPr>
            <w:r>
              <w:rPr>
                <w:rFonts w:hint="default" w:ascii="Times New Roman" w:hAnsi="Times New Roman" w:cs="Times New Roman"/>
              </w:rPr>
              <w:t>（以Pb计）</w:t>
            </w:r>
          </w:p>
        </w:tc>
        <w:tc>
          <w:tcPr>
            <w:tcW w:w="2500" w:type="dxa"/>
            <w:vAlign w:val="center"/>
          </w:tcPr>
          <w:p>
            <w:pPr>
              <w:spacing w:line="576" w:lineRule="exact"/>
              <w:jc w:val="center"/>
              <w:rPr>
                <w:rFonts w:hint="default" w:ascii="Times New Roman" w:hAnsi="Times New Roman" w:eastAsia="方正仿宋_GBK" w:cs="Times New Roman"/>
                <w:szCs w:val="21"/>
              </w:rPr>
            </w:pPr>
            <w:r>
              <w:rPr>
                <w:rFonts w:hint="default" w:ascii="Times New Roman" w:hAnsi="Times New Roman" w:cs="Times New Roman"/>
              </w:rPr>
              <w:t>HG/T 3783-2005</w:t>
            </w:r>
          </w:p>
        </w:tc>
        <w:tc>
          <w:tcPr>
            <w:tcW w:w="3041" w:type="dxa"/>
            <w:vAlign w:val="center"/>
          </w:tcPr>
          <w:p>
            <w:pPr>
              <w:jc w:val="center"/>
              <w:rPr>
                <w:rFonts w:hint="default" w:ascii="Times New Roman" w:hAnsi="Times New Roman" w:eastAsia="方正仿宋_GBK" w:cs="Times New Roman"/>
                <w:szCs w:val="21"/>
              </w:rPr>
            </w:pPr>
            <w:r>
              <w:rPr>
                <w:rFonts w:hint="default" w:ascii="Times New Roman" w:hAnsi="Times New Roman" w:cs="Times New Roman"/>
              </w:rPr>
              <w:t>HG/T 3783-2005</w:t>
            </w:r>
          </w:p>
        </w:tc>
      </w:tr>
    </w:tbl>
    <w:p>
      <w:pPr>
        <w:spacing w:line="576" w:lineRule="exact"/>
        <w:ind w:firstLine="560"/>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三、监督抽查结果分析</w:t>
      </w:r>
    </w:p>
    <w:p>
      <w:pPr>
        <w:spacing w:line="576" w:lineRule="exact"/>
        <w:ind w:firstLine="560"/>
        <w:rPr>
          <w:rFonts w:hint="default" w:ascii="Times New Roman" w:hAnsi="Times New Roman" w:eastAsia="方正楷体_GBK" w:cs="Times New Roman"/>
          <w:bCs/>
          <w:color w:val="000000"/>
          <w:kern w:val="0"/>
          <w:sz w:val="32"/>
          <w:szCs w:val="32"/>
          <w:lang w:val="en-US" w:eastAsia="zh-CN"/>
        </w:rPr>
      </w:pPr>
      <w:r>
        <w:rPr>
          <w:rFonts w:hint="default" w:ascii="Times New Roman" w:hAnsi="Times New Roman" w:eastAsia="方正楷体_GBK" w:cs="Times New Roman"/>
          <w:bCs/>
          <w:color w:val="000000"/>
          <w:kern w:val="0"/>
          <w:sz w:val="32"/>
          <w:szCs w:val="32"/>
          <w:lang w:val="en-US" w:eastAsia="zh-CN"/>
        </w:rPr>
        <w:t>（一）综合分析</w:t>
      </w:r>
    </w:p>
    <w:p>
      <w:pPr>
        <w:widowControl/>
        <w:shd w:val="clear" w:color="auto" w:fill="FFFFFF"/>
        <w:spacing w:line="576"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本次监督抽查共抽取6批次产品，经检验，合格6批次，合格率100%。样品来源抽检结果见表3。</w:t>
      </w:r>
    </w:p>
    <w:p>
      <w:pPr>
        <w:spacing w:line="576" w:lineRule="exact"/>
        <w:ind w:firstLine="560"/>
        <w:jc w:val="center"/>
        <w:rPr>
          <w:rFonts w:hint="default" w:ascii="Times New Roman" w:hAnsi="Times New Roman" w:eastAsia="方正仿宋_GBK" w:cs="Times New Roman"/>
          <w:sz w:val="28"/>
          <w:szCs w:val="28"/>
        </w:rPr>
      </w:pPr>
      <w:r>
        <w:rPr>
          <w:rFonts w:hint="default" w:ascii="Times New Roman" w:hAnsi="Times New Roman" w:eastAsia="方正仿宋_GBK" w:cs="Times New Roman"/>
          <w:b/>
          <w:sz w:val="28"/>
          <w:szCs w:val="28"/>
          <w:lang w:val="en-US" w:eastAsia="zh-CN"/>
        </w:rPr>
        <w:t>表3  样品来源抽检结果</w:t>
      </w:r>
    </w:p>
    <w:tbl>
      <w:tblPr>
        <w:tblStyle w:val="6"/>
        <w:tblW w:w="9307" w:type="dxa"/>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2510"/>
        <w:gridCol w:w="1740"/>
        <w:gridCol w:w="1834"/>
        <w:gridCol w:w="1755"/>
        <w:gridCol w:w="146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24" w:hRule="atLeast"/>
          <w:jc w:val="center"/>
        </w:trPr>
        <w:tc>
          <w:tcPr>
            <w:tcW w:w="2510" w:type="dxa"/>
            <w:tcBorders>
              <w:top w:val="single" w:color="auto" w:sz="4" w:space="0"/>
              <w:left w:val="single" w:color="auto" w:sz="4" w:space="0"/>
              <w:bottom w:val="single" w:color="auto" w:sz="4" w:space="0"/>
              <w:right w:val="single" w:color="auto" w:sz="4" w:space="0"/>
            </w:tcBorders>
            <w:tcMar>
              <w:top w:w="0" w:type="dxa"/>
              <w:left w:w="88" w:type="dxa"/>
              <w:bottom w:w="0" w:type="dxa"/>
              <w:right w:w="88" w:type="dxa"/>
            </w:tcMar>
            <w:vAlign w:val="center"/>
          </w:tcPr>
          <w:p>
            <w:pPr>
              <w:spacing w:line="576" w:lineRule="exact"/>
              <w:jc w:val="center"/>
              <w:rPr>
                <w:rFonts w:hint="default" w:ascii="Times New Roman" w:hAnsi="Times New Roman" w:eastAsia="方正黑体_GBK" w:cs="Times New Roman"/>
                <w:color w:val="000000"/>
                <w:kern w:val="0"/>
                <w:szCs w:val="22"/>
                <w:lang w:eastAsia="zh-CN"/>
              </w:rPr>
            </w:pPr>
            <w:r>
              <w:rPr>
                <w:rFonts w:hint="default" w:ascii="Times New Roman" w:hAnsi="Times New Roman" w:eastAsia="方正黑体_GBK" w:cs="Times New Roman"/>
                <w:color w:val="000000"/>
                <w:kern w:val="0"/>
                <w:szCs w:val="22"/>
                <w:lang w:eastAsia="zh-CN"/>
              </w:rPr>
              <w:t>产品类别</w:t>
            </w:r>
          </w:p>
        </w:tc>
        <w:tc>
          <w:tcPr>
            <w:tcW w:w="1740" w:type="dxa"/>
            <w:tcBorders>
              <w:top w:val="single" w:color="auto" w:sz="4" w:space="0"/>
              <w:left w:val="nil"/>
              <w:bottom w:val="single" w:color="auto" w:sz="4" w:space="0"/>
              <w:right w:val="single" w:color="auto" w:sz="4" w:space="0"/>
            </w:tcBorders>
            <w:tcMar>
              <w:top w:w="0" w:type="dxa"/>
              <w:left w:w="88" w:type="dxa"/>
              <w:bottom w:w="0" w:type="dxa"/>
              <w:right w:w="88" w:type="dxa"/>
            </w:tcMar>
            <w:vAlign w:val="center"/>
          </w:tcPr>
          <w:p>
            <w:pPr>
              <w:spacing w:line="576" w:lineRule="exact"/>
              <w:jc w:val="center"/>
              <w:rPr>
                <w:rFonts w:hint="default" w:ascii="Times New Roman" w:hAnsi="Times New Roman" w:eastAsia="方正黑体_GBK" w:cs="Times New Roman"/>
                <w:color w:val="000000"/>
                <w:kern w:val="0"/>
                <w:szCs w:val="22"/>
                <w:lang w:eastAsia="zh-CN"/>
              </w:rPr>
            </w:pPr>
            <w:r>
              <w:rPr>
                <w:rFonts w:hint="default" w:ascii="Times New Roman" w:hAnsi="Times New Roman" w:eastAsia="方正黑体_GBK" w:cs="Times New Roman"/>
                <w:color w:val="000000"/>
                <w:kern w:val="0"/>
                <w:szCs w:val="22"/>
                <w:lang w:eastAsia="zh-CN"/>
              </w:rPr>
              <w:t>样品来源</w:t>
            </w:r>
          </w:p>
        </w:tc>
        <w:tc>
          <w:tcPr>
            <w:tcW w:w="1834" w:type="dxa"/>
            <w:tcBorders>
              <w:top w:val="single" w:color="auto" w:sz="4" w:space="0"/>
              <w:left w:val="nil"/>
              <w:bottom w:val="single" w:color="auto" w:sz="4" w:space="0"/>
              <w:right w:val="single" w:color="auto" w:sz="4" w:space="0"/>
            </w:tcBorders>
            <w:tcMar>
              <w:top w:w="0" w:type="dxa"/>
              <w:left w:w="88" w:type="dxa"/>
              <w:bottom w:w="0" w:type="dxa"/>
              <w:right w:w="88" w:type="dxa"/>
            </w:tcMar>
            <w:vAlign w:val="center"/>
          </w:tcPr>
          <w:p>
            <w:pPr>
              <w:spacing w:line="576" w:lineRule="exact"/>
              <w:jc w:val="center"/>
              <w:rPr>
                <w:rFonts w:hint="default" w:ascii="Times New Roman" w:hAnsi="Times New Roman" w:eastAsia="方正黑体_GBK" w:cs="Times New Roman"/>
                <w:color w:val="000000"/>
                <w:kern w:val="0"/>
                <w:szCs w:val="22"/>
                <w:lang w:eastAsia="zh-CN"/>
              </w:rPr>
            </w:pPr>
            <w:r>
              <w:rPr>
                <w:rFonts w:hint="default" w:ascii="Times New Roman" w:hAnsi="Times New Roman" w:eastAsia="方正黑体_GBK" w:cs="Times New Roman"/>
                <w:color w:val="000000"/>
                <w:kern w:val="0"/>
                <w:szCs w:val="22"/>
                <w:lang w:eastAsia="zh-CN"/>
              </w:rPr>
              <w:t>抽样批次</w:t>
            </w:r>
          </w:p>
        </w:tc>
        <w:tc>
          <w:tcPr>
            <w:tcW w:w="1755" w:type="dxa"/>
            <w:tcBorders>
              <w:top w:val="single" w:color="auto" w:sz="4" w:space="0"/>
              <w:left w:val="nil"/>
              <w:bottom w:val="single" w:color="auto" w:sz="4" w:space="0"/>
              <w:right w:val="single" w:color="auto" w:sz="4" w:space="0"/>
            </w:tcBorders>
            <w:tcMar>
              <w:top w:w="0" w:type="dxa"/>
              <w:left w:w="88" w:type="dxa"/>
              <w:bottom w:w="0" w:type="dxa"/>
              <w:right w:w="88" w:type="dxa"/>
            </w:tcMar>
            <w:vAlign w:val="center"/>
          </w:tcPr>
          <w:p>
            <w:pPr>
              <w:spacing w:line="576" w:lineRule="exact"/>
              <w:jc w:val="center"/>
              <w:rPr>
                <w:rFonts w:hint="default" w:ascii="Times New Roman" w:hAnsi="Times New Roman" w:eastAsia="方正黑体_GBK" w:cs="Times New Roman"/>
                <w:color w:val="000000"/>
                <w:kern w:val="0"/>
                <w:szCs w:val="22"/>
                <w:lang w:eastAsia="zh-CN"/>
              </w:rPr>
            </w:pPr>
            <w:r>
              <w:rPr>
                <w:rFonts w:hint="default" w:ascii="Times New Roman" w:hAnsi="Times New Roman" w:eastAsia="方正黑体_GBK" w:cs="Times New Roman"/>
                <w:color w:val="000000"/>
                <w:kern w:val="0"/>
                <w:szCs w:val="22"/>
                <w:lang w:eastAsia="zh-CN"/>
              </w:rPr>
              <w:t>合格批次</w:t>
            </w:r>
          </w:p>
        </w:tc>
        <w:tc>
          <w:tcPr>
            <w:tcW w:w="1468" w:type="dxa"/>
            <w:tcBorders>
              <w:top w:val="single" w:color="auto" w:sz="4" w:space="0"/>
              <w:left w:val="nil"/>
              <w:bottom w:val="single" w:color="auto" w:sz="4" w:space="0"/>
              <w:right w:val="single" w:color="auto" w:sz="4" w:space="0"/>
            </w:tcBorders>
            <w:tcMar>
              <w:top w:w="0" w:type="dxa"/>
              <w:left w:w="88" w:type="dxa"/>
              <w:bottom w:w="0" w:type="dxa"/>
              <w:right w:w="88" w:type="dxa"/>
            </w:tcMar>
            <w:vAlign w:val="center"/>
          </w:tcPr>
          <w:p>
            <w:pPr>
              <w:spacing w:line="576" w:lineRule="exact"/>
              <w:jc w:val="center"/>
              <w:rPr>
                <w:rFonts w:hint="default" w:ascii="Times New Roman" w:hAnsi="Times New Roman" w:eastAsia="方正黑体_GBK" w:cs="Times New Roman"/>
                <w:color w:val="000000"/>
                <w:kern w:val="0"/>
                <w:szCs w:val="22"/>
                <w:lang w:eastAsia="zh-CN"/>
              </w:rPr>
            </w:pPr>
            <w:r>
              <w:rPr>
                <w:rFonts w:hint="default" w:ascii="Times New Roman" w:hAnsi="Times New Roman" w:eastAsia="方正黑体_GBK" w:cs="Times New Roman"/>
                <w:color w:val="000000"/>
                <w:kern w:val="0"/>
                <w:szCs w:val="22"/>
                <w:lang w:eastAsia="zh-CN"/>
              </w:rPr>
              <w:t>合格率（%）</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90" w:hRule="atLeast"/>
          <w:jc w:val="center"/>
        </w:trPr>
        <w:tc>
          <w:tcPr>
            <w:tcW w:w="2510" w:type="dxa"/>
            <w:tcBorders>
              <w:top w:val="single" w:color="auto" w:sz="4" w:space="0"/>
              <w:left w:val="single" w:color="auto" w:sz="4" w:space="0"/>
              <w:bottom w:val="single" w:color="auto" w:sz="4" w:space="0"/>
              <w:right w:val="single" w:color="auto" w:sz="4" w:space="0"/>
            </w:tcBorders>
            <w:tcMar>
              <w:top w:w="0" w:type="dxa"/>
              <w:left w:w="88" w:type="dxa"/>
              <w:bottom w:w="0" w:type="dxa"/>
              <w:right w:w="88" w:type="dxa"/>
            </w:tcMar>
            <w:vAlign w:val="center"/>
          </w:tcPr>
          <w:p>
            <w:pPr>
              <w:spacing w:line="576" w:lineRule="exact"/>
              <w:jc w:val="center"/>
              <w:rPr>
                <w:rFonts w:hint="default" w:ascii="Times New Roman" w:hAnsi="Times New Roman" w:eastAsia="方正仿宋_GBK" w:cs="Times New Roman"/>
                <w:szCs w:val="21"/>
              </w:rPr>
            </w:pPr>
            <w:r>
              <w:rPr>
                <w:rFonts w:hint="default" w:ascii="Times New Roman" w:hAnsi="Times New Roman" w:eastAsia="方正仿宋_GBK" w:cs="Times New Roman"/>
                <w:szCs w:val="21"/>
              </w:rPr>
              <w:t>危险化学品</w:t>
            </w:r>
          </w:p>
        </w:tc>
        <w:tc>
          <w:tcPr>
            <w:tcW w:w="1740" w:type="dxa"/>
            <w:vMerge w:val="restart"/>
            <w:tcBorders>
              <w:top w:val="single" w:color="auto" w:sz="4" w:space="0"/>
              <w:left w:val="single" w:color="auto" w:sz="4" w:space="0"/>
              <w:right w:val="single" w:color="auto" w:sz="4" w:space="0"/>
            </w:tcBorders>
            <w:tcMar>
              <w:top w:w="0" w:type="dxa"/>
              <w:left w:w="88" w:type="dxa"/>
              <w:bottom w:w="0" w:type="dxa"/>
              <w:right w:w="88" w:type="dxa"/>
            </w:tcMar>
            <w:vAlign w:val="center"/>
          </w:tcPr>
          <w:p>
            <w:pPr>
              <w:spacing w:line="576" w:lineRule="exact"/>
              <w:jc w:val="center"/>
              <w:rPr>
                <w:rFonts w:hint="default" w:ascii="Times New Roman" w:hAnsi="Times New Roman" w:eastAsia="方正仿宋_GBK" w:cs="Times New Roman"/>
                <w:szCs w:val="21"/>
              </w:rPr>
            </w:pPr>
            <w:r>
              <w:rPr>
                <w:rFonts w:hint="default" w:ascii="Times New Roman" w:hAnsi="Times New Roman" w:eastAsia="方正仿宋_GBK" w:cs="Times New Roman"/>
                <w:szCs w:val="21"/>
              </w:rPr>
              <w:t>生产企业</w:t>
            </w:r>
          </w:p>
        </w:tc>
        <w:tc>
          <w:tcPr>
            <w:tcW w:w="1834" w:type="dxa"/>
            <w:tcBorders>
              <w:top w:val="single" w:color="auto" w:sz="4" w:space="0"/>
              <w:left w:val="single" w:color="auto" w:sz="4" w:space="0"/>
              <w:bottom w:val="single" w:color="auto" w:sz="4" w:space="0"/>
              <w:right w:val="single" w:color="auto" w:sz="4" w:space="0"/>
            </w:tcBorders>
            <w:tcMar>
              <w:top w:w="0" w:type="dxa"/>
              <w:left w:w="88" w:type="dxa"/>
              <w:bottom w:w="0" w:type="dxa"/>
              <w:right w:w="88" w:type="dxa"/>
            </w:tcMar>
            <w:vAlign w:val="center"/>
          </w:tcPr>
          <w:p>
            <w:pPr>
              <w:spacing w:line="576" w:lineRule="exact"/>
              <w:jc w:val="center"/>
              <w:rPr>
                <w:rFonts w:hint="default" w:ascii="Times New Roman" w:hAnsi="Times New Roman" w:eastAsia="方正仿宋_GBK" w:cs="Times New Roman"/>
                <w:szCs w:val="21"/>
              </w:rPr>
            </w:pPr>
            <w:r>
              <w:rPr>
                <w:rFonts w:hint="default" w:ascii="Times New Roman" w:hAnsi="Times New Roman" w:eastAsia="方正仿宋_GBK" w:cs="Times New Roman"/>
                <w:szCs w:val="21"/>
              </w:rPr>
              <w:t>6</w:t>
            </w:r>
          </w:p>
        </w:tc>
        <w:tc>
          <w:tcPr>
            <w:tcW w:w="1755" w:type="dxa"/>
            <w:tcBorders>
              <w:top w:val="single" w:color="auto" w:sz="4" w:space="0"/>
              <w:left w:val="single" w:color="auto" w:sz="4" w:space="0"/>
              <w:bottom w:val="single" w:color="auto" w:sz="4" w:space="0"/>
              <w:right w:val="single" w:color="auto" w:sz="4" w:space="0"/>
            </w:tcBorders>
            <w:tcMar>
              <w:top w:w="0" w:type="dxa"/>
              <w:left w:w="88" w:type="dxa"/>
              <w:bottom w:w="0" w:type="dxa"/>
              <w:right w:w="88" w:type="dxa"/>
            </w:tcMar>
            <w:vAlign w:val="center"/>
          </w:tcPr>
          <w:p>
            <w:pPr>
              <w:spacing w:line="576" w:lineRule="exact"/>
              <w:jc w:val="center"/>
              <w:rPr>
                <w:rFonts w:hint="default" w:ascii="Times New Roman" w:hAnsi="Times New Roman" w:eastAsia="方正仿宋_GBK" w:cs="Times New Roman"/>
                <w:szCs w:val="21"/>
              </w:rPr>
            </w:pPr>
            <w:r>
              <w:rPr>
                <w:rFonts w:hint="default" w:ascii="Times New Roman" w:hAnsi="Times New Roman" w:eastAsia="方正仿宋_GBK" w:cs="Times New Roman"/>
                <w:szCs w:val="21"/>
              </w:rPr>
              <w:t>6</w:t>
            </w:r>
          </w:p>
        </w:tc>
        <w:tc>
          <w:tcPr>
            <w:tcW w:w="1468" w:type="dxa"/>
            <w:tcBorders>
              <w:top w:val="single" w:color="auto" w:sz="4" w:space="0"/>
              <w:left w:val="single" w:color="auto" w:sz="4" w:space="0"/>
              <w:bottom w:val="single" w:color="auto" w:sz="4" w:space="0"/>
              <w:right w:val="single" w:color="auto" w:sz="4" w:space="0"/>
            </w:tcBorders>
            <w:tcMar>
              <w:top w:w="0" w:type="dxa"/>
              <w:left w:w="88" w:type="dxa"/>
              <w:bottom w:w="0" w:type="dxa"/>
              <w:right w:w="88" w:type="dxa"/>
            </w:tcMar>
            <w:vAlign w:val="center"/>
          </w:tcPr>
          <w:p>
            <w:pPr>
              <w:spacing w:line="576" w:lineRule="exact"/>
              <w:jc w:val="center"/>
              <w:rPr>
                <w:rFonts w:hint="default" w:ascii="Times New Roman" w:hAnsi="Times New Roman" w:eastAsia="方正仿宋_GBK" w:cs="Times New Roman"/>
                <w:szCs w:val="21"/>
              </w:rPr>
            </w:pPr>
            <w:r>
              <w:rPr>
                <w:rFonts w:hint="default" w:ascii="Times New Roman" w:hAnsi="Times New Roman" w:eastAsia="方正仿宋_GBK" w:cs="Times New Roman"/>
                <w:szCs w:val="21"/>
              </w:rPr>
              <w:t>100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17" w:hRule="atLeast"/>
          <w:jc w:val="center"/>
        </w:trPr>
        <w:tc>
          <w:tcPr>
            <w:tcW w:w="2510" w:type="dxa"/>
            <w:tcBorders>
              <w:top w:val="single" w:color="auto" w:sz="4" w:space="0"/>
              <w:left w:val="single" w:color="auto" w:sz="4" w:space="0"/>
              <w:bottom w:val="single" w:color="auto" w:sz="4" w:space="0"/>
              <w:right w:val="single" w:color="auto" w:sz="4" w:space="0"/>
            </w:tcBorders>
            <w:tcMar>
              <w:top w:w="0" w:type="dxa"/>
              <w:left w:w="88" w:type="dxa"/>
              <w:bottom w:w="0" w:type="dxa"/>
              <w:right w:w="88" w:type="dxa"/>
            </w:tcMar>
            <w:vAlign w:val="center"/>
          </w:tcPr>
          <w:p>
            <w:pPr>
              <w:spacing w:line="576" w:lineRule="exact"/>
              <w:jc w:val="center"/>
              <w:rPr>
                <w:rFonts w:hint="default" w:ascii="Times New Roman" w:hAnsi="Times New Roman" w:eastAsia="方正仿宋_GBK" w:cs="Times New Roman"/>
                <w:szCs w:val="21"/>
              </w:rPr>
            </w:pPr>
            <w:r>
              <w:rPr>
                <w:rFonts w:hint="default" w:ascii="Times New Roman" w:hAnsi="Times New Roman" w:eastAsia="方正仿宋_GBK" w:cs="Times New Roman"/>
                <w:szCs w:val="21"/>
              </w:rPr>
              <w:t>合   计</w:t>
            </w:r>
          </w:p>
        </w:tc>
        <w:tc>
          <w:tcPr>
            <w:tcW w:w="1740" w:type="dxa"/>
            <w:vMerge w:val="continue"/>
            <w:tcBorders>
              <w:left w:val="single" w:color="auto" w:sz="4" w:space="0"/>
              <w:bottom w:val="single" w:color="auto" w:sz="4" w:space="0"/>
              <w:right w:val="single" w:color="auto" w:sz="4" w:space="0"/>
            </w:tcBorders>
            <w:tcMar>
              <w:top w:w="0" w:type="dxa"/>
              <w:left w:w="88" w:type="dxa"/>
              <w:bottom w:w="0" w:type="dxa"/>
              <w:right w:w="88" w:type="dxa"/>
            </w:tcMar>
            <w:vAlign w:val="center"/>
          </w:tcPr>
          <w:p>
            <w:pPr>
              <w:spacing w:line="576" w:lineRule="exact"/>
              <w:jc w:val="center"/>
              <w:rPr>
                <w:rFonts w:hint="default" w:ascii="Times New Roman" w:hAnsi="Times New Roman" w:eastAsia="方正仿宋_GBK" w:cs="Times New Roman"/>
                <w:szCs w:val="21"/>
              </w:rPr>
            </w:pPr>
          </w:p>
        </w:tc>
        <w:tc>
          <w:tcPr>
            <w:tcW w:w="1834" w:type="dxa"/>
            <w:tcBorders>
              <w:top w:val="single" w:color="auto" w:sz="4" w:space="0"/>
              <w:left w:val="single" w:color="auto" w:sz="4" w:space="0"/>
              <w:bottom w:val="single" w:color="auto" w:sz="4" w:space="0"/>
              <w:right w:val="single" w:color="auto" w:sz="4" w:space="0"/>
            </w:tcBorders>
            <w:tcMar>
              <w:top w:w="0" w:type="dxa"/>
              <w:left w:w="88" w:type="dxa"/>
              <w:bottom w:w="0" w:type="dxa"/>
              <w:right w:w="88" w:type="dxa"/>
            </w:tcMar>
            <w:vAlign w:val="center"/>
          </w:tcPr>
          <w:p>
            <w:pPr>
              <w:spacing w:line="576" w:lineRule="exact"/>
              <w:jc w:val="center"/>
              <w:rPr>
                <w:rFonts w:hint="default" w:ascii="Times New Roman" w:hAnsi="Times New Roman" w:eastAsia="方正仿宋_GBK" w:cs="Times New Roman"/>
                <w:szCs w:val="21"/>
              </w:rPr>
            </w:pPr>
            <w:r>
              <w:rPr>
                <w:rFonts w:hint="default" w:ascii="Times New Roman" w:hAnsi="Times New Roman" w:eastAsia="方正仿宋_GBK" w:cs="Times New Roman"/>
                <w:szCs w:val="21"/>
              </w:rPr>
              <w:t>6</w:t>
            </w:r>
          </w:p>
        </w:tc>
        <w:tc>
          <w:tcPr>
            <w:tcW w:w="1755" w:type="dxa"/>
            <w:tcBorders>
              <w:top w:val="single" w:color="auto" w:sz="4" w:space="0"/>
              <w:left w:val="single" w:color="auto" w:sz="4" w:space="0"/>
              <w:bottom w:val="single" w:color="auto" w:sz="4" w:space="0"/>
              <w:right w:val="single" w:color="auto" w:sz="4" w:space="0"/>
            </w:tcBorders>
            <w:tcMar>
              <w:top w:w="0" w:type="dxa"/>
              <w:left w:w="88" w:type="dxa"/>
              <w:bottom w:w="0" w:type="dxa"/>
              <w:right w:w="88" w:type="dxa"/>
            </w:tcMar>
            <w:vAlign w:val="center"/>
          </w:tcPr>
          <w:p>
            <w:pPr>
              <w:spacing w:line="576" w:lineRule="exact"/>
              <w:jc w:val="center"/>
              <w:rPr>
                <w:rFonts w:hint="default" w:ascii="Times New Roman" w:hAnsi="Times New Roman" w:eastAsia="方正仿宋_GBK" w:cs="Times New Roman"/>
                <w:szCs w:val="21"/>
              </w:rPr>
            </w:pPr>
            <w:r>
              <w:rPr>
                <w:rFonts w:hint="default" w:ascii="Times New Roman" w:hAnsi="Times New Roman" w:eastAsia="方正仿宋_GBK" w:cs="Times New Roman"/>
                <w:szCs w:val="21"/>
              </w:rPr>
              <w:t>6</w:t>
            </w:r>
          </w:p>
        </w:tc>
        <w:tc>
          <w:tcPr>
            <w:tcW w:w="1468" w:type="dxa"/>
            <w:tcBorders>
              <w:top w:val="single" w:color="auto" w:sz="4" w:space="0"/>
              <w:left w:val="single" w:color="auto" w:sz="4" w:space="0"/>
              <w:bottom w:val="single" w:color="auto" w:sz="4" w:space="0"/>
              <w:right w:val="single" w:color="auto" w:sz="4" w:space="0"/>
            </w:tcBorders>
            <w:tcMar>
              <w:top w:w="0" w:type="dxa"/>
              <w:left w:w="88" w:type="dxa"/>
              <w:bottom w:w="0" w:type="dxa"/>
              <w:right w:w="88" w:type="dxa"/>
            </w:tcMar>
            <w:vAlign w:val="center"/>
          </w:tcPr>
          <w:p>
            <w:pPr>
              <w:spacing w:line="576" w:lineRule="exact"/>
              <w:jc w:val="center"/>
              <w:rPr>
                <w:rFonts w:hint="default" w:ascii="Times New Roman" w:hAnsi="Times New Roman" w:eastAsia="方正仿宋_GBK" w:cs="Times New Roman"/>
                <w:szCs w:val="21"/>
              </w:rPr>
            </w:pPr>
            <w:r>
              <w:rPr>
                <w:rFonts w:hint="default" w:ascii="Times New Roman" w:hAnsi="Times New Roman" w:eastAsia="方正仿宋_GBK" w:cs="Times New Roman"/>
                <w:szCs w:val="21"/>
              </w:rPr>
              <w:t>100</w:t>
            </w:r>
          </w:p>
        </w:tc>
      </w:tr>
    </w:tbl>
    <w:p>
      <w:pPr>
        <w:widowControl/>
        <w:shd w:val="clear" w:color="auto" w:fill="FFFFFF"/>
        <w:spacing w:line="576"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本次监督抽查共抽取2个地区6批次产品。不同抽查地区抽查结果见表4。</w:t>
      </w:r>
      <w:bookmarkStart w:id="0" w:name="_GoBack"/>
      <w:bookmarkEnd w:id="0"/>
    </w:p>
    <w:p>
      <w:pPr>
        <w:spacing w:line="576" w:lineRule="exact"/>
        <w:ind w:firstLine="560"/>
        <w:jc w:val="center"/>
        <w:rPr>
          <w:rFonts w:hint="default" w:ascii="Times New Roman" w:hAnsi="Times New Roman" w:eastAsia="方正仿宋_GBK" w:cs="Times New Roman"/>
          <w:sz w:val="28"/>
          <w:szCs w:val="28"/>
        </w:rPr>
      </w:pPr>
      <w:r>
        <w:rPr>
          <w:rFonts w:hint="default" w:ascii="Times New Roman" w:hAnsi="Times New Roman" w:eastAsia="方正仿宋_GBK" w:cs="Times New Roman"/>
          <w:b/>
          <w:sz w:val="28"/>
          <w:szCs w:val="28"/>
          <w:lang w:val="en-US" w:eastAsia="zh-CN"/>
        </w:rPr>
        <w:t>表4  不同抽查地区抽查结果</w:t>
      </w:r>
    </w:p>
    <w:tbl>
      <w:tblPr>
        <w:tblStyle w:val="6"/>
        <w:tblW w:w="9287" w:type="dxa"/>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3199"/>
        <w:gridCol w:w="1701"/>
        <w:gridCol w:w="1418"/>
        <w:gridCol w:w="1559"/>
        <w:gridCol w:w="1410"/>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07" w:hRule="atLeast"/>
          <w:jc w:val="center"/>
        </w:trPr>
        <w:tc>
          <w:tcPr>
            <w:tcW w:w="3199" w:type="dxa"/>
            <w:tcBorders>
              <w:top w:val="single" w:color="auto" w:sz="6" w:space="0"/>
              <w:left w:val="single" w:color="auto" w:sz="6" w:space="0"/>
              <w:bottom w:val="single" w:color="auto" w:sz="6" w:space="0"/>
              <w:right w:val="single" w:color="auto" w:sz="6" w:space="0"/>
            </w:tcBorders>
            <w:tcMar>
              <w:top w:w="0" w:type="dxa"/>
              <w:left w:w="105" w:type="dxa"/>
              <w:bottom w:w="0" w:type="dxa"/>
              <w:right w:w="105" w:type="dxa"/>
            </w:tcMar>
            <w:vAlign w:val="center"/>
          </w:tcPr>
          <w:p>
            <w:pPr>
              <w:spacing w:line="576" w:lineRule="exact"/>
              <w:jc w:val="center"/>
              <w:rPr>
                <w:rFonts w:hint="default" w:ascii="Times New Roman" w:hAnsi="Times New Roman" w:eastAsia="方正黑体_GBK" w:cs="Times New Roman"/>
                <w:color w:val="000000"/>
                <w:kern w:val="0"/>
                <w:szCs w:val="22"/>
                <w:lang w:eastAsia="zh-CN"/>
              </w:rPr>
            </w:pPr>
            <w:r>
              <w:rPr>
                <w:rFonts w:hint="default" w:ascii="Times New Roman" w:hAnsi="Times New Roman" w:eastAsia="方正黑体_GBK" w:cs="Times New Roman"/>
                <w:color w:val="000000"/>
                <w:kern w:val="0"/>
                <w:szCs w:val="22"/>
                <w:lang w:eastAsia="zh-CN"/>
              </w:rPr>
              <w:t>产品类别</w:t>
            </w:r>
          </w:p>
        </w:tc>
        <w:tc>
          <w:tcPr>
            <w:tcW w:w="1701" w:type="dxa"/>
            <w:tcBorders>
              <w:top w:val="single" w:color="auto" w:sz="6" w:space="0"/>
              <w:left w:val="nil"/>
              <w:bottom w:val="single" w:color="auto" w:sz="6" w:space="0"/>
              <w:right w:val="single" w:color="auto" w:sz="6" w:space="0"/>
            </w:tcBorders>
            <w:tcMar>
              <w:top w:w="0" w:type="dxa"/>
              <w:left w:w="105" w:type="dxa"/>
              <w:bottom w:w="0" w:type="dxa"/>
              <w:right w:w="105" w:type="dxa"/>
            </w:tcMar>
            <w:vAlign w:val="center"/>
          </w:tcPr>
          <w:p>
            <w:pPr>
              <w:spacing w:line="576" w:lineRule="exact"/>
              <w:jc w:val="center"/>
              <w:rPr>
                <w:rFonts w:hint="default" w:ascii="Times New Roman" w:hAnsi="Times New Roman" w:eastAsia="方正黑体_GBK" w:cs="Times New Roman"/>
                <w:color w:val="000000"/>
                <w:kern w:val="0"/>
                <w:szCs w:val="22"/>
                <w:lang w:eastAsia="zh-CN"/>
              </w:rPr>
            </w:pPr>
            <w:r>
              <w:rPr>
                <w:rFonts w:hint="default" w:ascii="Times New Roman" w:hAnsi="Times New Roman" w:eastAsia="方正黑体_GBK" w:cs="Times New Roman"/>
                <w:color w:val="000000"/>
                <w:kern w:val="0"/>
                <w:szCs w:val="22"/>
                <w:lang w:eastAsia="zh-CN"/>
              </w:rPr>
              <w:t>抽查地区</w:t>
            </w:r>
          </w:p>
        </w:tc>
        <w:tc>
          <w:tcPr>
            <w:tcW w:w="1418" w:type="dxa"/>
            <w:tcBorders>
              <w:top w:val="single" w:color="auto" w:sz="6" w:space="0"/>
              <w:left w:val="nil"/>
              <w:bottom w:val="single" w:color="auto" w:sz="6" w:space="0"/>
              <w:right w:val="single" w:color="auto" w:sz="6" w:space="0"/>
            </w:tcBorders>
            <w:tcMar>
              <w:top w:w="0" w:type="dxa"/>
              <w:left w:w="105" w:type="dxa"/>
              <w:bottom w:w="0" w:type="dxa"/>
              <w:right w:w="105" w:type="dxa"/>
            </w:tcMar>
            <w:vAlign w:val="center"/>
          </w:tcPr>
          <w:p>
            <w:pPr>
              <w:spacing w:line="576" w:lineRule="exact"/>
              <w:jc w:val="center"/>
              <w:rPr>
                <w:rFonts w:hint="default" w:ascii="Times New Roman" w:hAnsi="Times New Roman" w:eastAsia="方正黑体_GBK" w:cs="Times New Roman"/>
                <w:color w:val="000000"/>
                <w:kern w:val="0"/>
                <w:szCs w:val="22"/>
                <w:lang w:eastAsia="zh-CN"/>
              </w:rPr>
            </w:pPr>
            <w:r>
              <w:rPr>
                <w:rFonts w:hint="default" w:ascii="Times New Roman" w:hAnsi="Times New Roman" w:eastAsia="方正黑体_GBK" w:cs="Times New Roman"/>
                <w:color w:val="000000"/>
                <w:kern w:val="0"/>
                <w:szCs w:val="22"/>
                <w:lang w:eastAsia="zh-CN"/>
              </w:rPr>
              <w:t>抽样批次</w:t>
            </w:r>
          </w:p>
        </w:tc>
        <w:tc>
          <w:tcPr>
            <w:tcW w:w="1559" w:type="dxa"/>
            <w:tcBorders>
              <w:top w:val="single" w:color="auto" w:sz="6" w:space="0"/>
              <w:left w:val="nil"/>
              <w:bottom w:val="single" w:color="auto" w:sz="6" w:space="0"/>
              <w:right w:val="single" w:color="auto" w:sz="6" w:space="0"/>
            </w:tcBorders>
            <w:tcMar>
              <w:top w:w="0" w:type="dxa"/>
              <w:left w:w="105" w:type="dxa"/>
              <w:bottom w:w="0" w:type="dxa"/>
              <w:right w:w="105" w:type="dxa"/>
            </w:tcMar>
            <w:vAlign w:val="center"/>
          </w:tcPr>
          <w:p>
            <w:pPr>
              <w:spacing w:line="576" w:lineRule="exact"/>
              <w:jc w:val="center"/>
              <w:rPr>
                <w:rFonts w:hint="default" w:ascii="Times New Roman" w:hAnsi="Times New Roman" w:eastAsia="方正黑体_GBK" w:cs="Times New Roman"/>
                <w:color w:val="000000"/>
                <w:kern w:val="0"/>
                <w:szCs w:val="22"/>
                <w:lang w:eastAsia="zh-CN"/>
              </w:rPr>
            </w:pPr>
            <w:r>
              <w:rPr>
                <w:rFonts w:hint="default" w:ascii="Times New Roman" w:hAnsi="Times New Roman" w:eastAsia="方正黑体_GBK" w:cs="Times New Roman"/>
                <w:color w:val="000000"/>
                <w:kern w:val="0"/>
                <w:szCs w:val="22"/>
                <w:lang w:eastAsia="zh-CN"/>
              </w:rPr>
              <w:t>合格批次</w:t>
            </w:r>
          </w:p>
        </w:tc>
        <w:tc>
          <w:tcPr>
            <w:tcW w:w="1410" w:type="dxa"/>
            <w:tcBorders>
              <w:top w:val="single" w:color="auto" w:sz="6" w:space="0"/>
              <w:left w:val="nil"/>
              <w:bottom w:val="single" w:color="auto" w:sz="6" w:space="0"/>
              <w:right w:val="single" w:color="auto" w:sz="6" w:space="0"/>
            </w:tcBorders>
            <w:tcMar>
              <w:top w:w="0" w:type="dxa"/>
              <w:left w:w="105" w:type="dxa"/>
              <w:bottom w:w="0" w:type="dxa"/>
              <w:right w:w="105" w:type="dxa"/>
            </w:tcMar>
            <w:vAlign w:val="center"/>
          </w:tcPr>
          <w:p>
            <w:pPr>
              <w:spacing w:line="576" w:lineRule="exact"/>
              <w:jc w:val="center"/>
              <w:rPr>
                <w:rFonts w:hint="default" w:ascii="Times New Roman" w:hAnsi="Times New Roman" w:eastAsia="方正黑体_GBK" w:cs="Times New Roman"/>
                <w:color w:val="000000"/>
                <w:kern w:val="0"/>
                <w:szCs w:val="22"/>
                <w:lang w:eastAsia="zh-CN"/>
              </w:rPr>
            </w:pPr>
            <w:r>
              <w:rPr>
                <w:rFonts w:hint="default" w:ascii="Times New Roman" w:hAnsi="Times New Roman" w:eastAsia="方正黑体_GBK" w:cs="Times New Roman"/>
                <w:color w:val="000000"/>
                <w:kern w:val="0"/>
                <w:szCs w:val="22"/>
                <w:lang w:eastAsia="zh-CN"/>
              </w:rPr>
              <w:t>合格率%</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32" w:hRule="atLeast"/>
          <w:jc w:val="center"/>
        </w:trPr>
        <w:tc>
          <w:tcPr>
            <w:tcW w:w="3199" w:type="dxa"/>
            <w:vMerge w:val="restart"/>
            <w:tcBorders>
              <w:top w:val="nil"/>
              <w:left w:val="single" w:color="auto" w:sz="6" w:space="0"/>
              <w:right w:val="single" w:color="auto" w:sz="6" w:space="0"/>
            </w:tcBorders>
            <w:tcMar>
              <w:top w:w="0" w:type="dxa"/>
              <w:left w:w="105" w:type="dxa"/>
              <w:bottom w:w="0" w:type="dxa"/>
              <w:right w:w="105" w:type="dxa"/>
            </w:tcMar>
            <w:vAlign w:val="center"/>
          </w:tcPr>
          <w:p>
            <w:pPr>
              <w:spacing w:line="576" w:lineRule="exact"/>
              <w:jc w:val="center"/>
              <w:rPr>
                <w:rFonts w:hint="default" w:ascii="Times New Roman" w:hAnsi="Times New Roman" w:eastAsia="方正仿宋_GBK" w:cs="Times New Roman"/>
                <w:szCs w:val="21"/>
              </w:rPr>
            </w:pPr>
            <w:r>
              <w:rPr>
                <w:rFonts w:hint="default" w:ascii="Times New Roman" w:hAnsi="Times New Roman" w:eastAsia="方正仿宋_GBK" w:cs="Times New Roman"/>
                <w:szCs w:val="21"/>
              </w:rPr>
              <w:t>危险化学品</w:t>
            </w:r>
          </w:p>
        </w:tc>
        <w:tc>
          <w:tcPr>
            <w:tcW w:w="1701" w:type="dxa"/>
            <w:tcBorders>
              <w:top w:val="nil"/>
              <w:left w:val="nil"/>
              <w:bottom w:val="single" w:color="auto" w:sz="6" w:space="0"/>
              <w:right w:val="single" w:color="auto" w:sz="6" w:space="0"/>
            </w:tcBorders>
            <w:tcMar>
              <w:top w:w="0" w:type="dxa"/>
              <w:left w:w="105" w:type="dxa"/>
              <w:bottom w:w="0" w:type="dxa"/>
              <w:right w:w="105" w:type="dxa"/>
            </w:tcMar>
            <w:vAlign w:val="center"/>
          </w:tcPr>
          <w:p>
            <w:pPr>
              <w:spacing w:line="576" w:lineRule="exact"/>
              <w:jc w:val="center"/>
              <w:rPr>
                <w:rFonts w:hint="default" w:ascii="Times New Roman" w:hAnsi="Times New Roman" w:eastAsia="方正仿宋_GBK" w:cs="Times New Roman"/>
                <w:szCs w:val="21"/>
              </w:rPr>
            </w:pPr>
            <w:r>
              <w:rPr>
                <w:rFonts w:hint="default" w:ascii="Times New Roman" w:hAnsi="Times New Roman" w:eastAsia="方正仿宋_GBK" w:cs="Times New Roman"/>
                <w:szCs w:val="21"/>
              </w:rPr>
              <w:t>大丰县</w:t>
            </w:r>
          </w:p>
        </w:tc>
        <w:tc>
          <w:tcPr>
            <w:tcW w:w="1418" w:type="dxa"/>
            <w:tcBorders>
              <w:top w:val="nil"/>
              <w:left w:val="nil"/>
              <w:bottom w:val="single" w:color="auto" w:sz="6" w:space="0"/>
              <w:right w:val="single" w:color="auto" w:sz="6" w:space="0"/>
            </w:tcBorders>
            <w:tcMar>
              <w:top w:w="0" w:type="dxa"/>
              <w:left w:w="105" w:type="dxa"/>
              <w:bottom w:w="0" w:type="dxa"/>
              <w:right w:w="105" w:type="dxa"/>
            </w:tcMar>
            <w:vAlign w:val="center"/>
          </w:tcPr>
          <w:p>
            <w:pPr>
              <w:spacing w:line="576" w:lineRule="exact"/>
              <w:jc w:val="center"/>
              <w:rPr>
                <w:rFonts w:hint="default" w:ascii="Times New Roman" w:hAnsi="Times New Roman" w:eastAsia="方正仿宋_GBK" w:cs="Times New Roman"/>
                <w:szCs w:val="21"/>
              </w:rPr>
            </w:pPr>
            <w:r>
              <w:rPr>
                <w:rFonts w:hint="default" w:ascii="Times New Roman" w:hAnsi="Times New Roman" w:eastAsia="方正仿宋_GBK" w:cs="Times New Roman"/>
                <w:szCs w:val="21"/>
              </w:rPr>
              <w:t>3</w:t>
            </w:r>
          </w:p>
        </w:tc>
        <w:tc>
          <w:tcPr>
            <w:tcW w:w="1559" w:type="dxa"/>
            <w:tcBorders>
              <w:top w:val="nil"/>
              <w:left w:val="nil"/>
              <w:bottom w:val="single" w:color="auto" w:sz="6" w:space="0"/>
              <w:right w:val="single" w:color="auto" w:sz="6" w:space="0"/>
            </w:tcBorders>
            <w:tcMar>
              <w:top w:w="0" w:type="dxa"/>
              <w:left w:w="105" w:type="dxa"/>
              <w:bottom w:w="0" w:type="dxa"/>
              <w:right w:w="105" w:type="dxa"/>
            </w:tcMar>
            <w:vAlign w:val="center"/>
          </w:tcPr>
          <w:p>
            <w:pPr>
              <w:spacing w:line="576" w:lineRule="exact"/>
              <w:jc w:val="center"/>
              <w:rPr>
                <w:rFonts w:hint="default" w:ascii="Times New Roman" w:hAnsi="Times New Roman" w:eastAsia="方正仿宋_GBK" w:cs="Times New Roman"/>
                <w:szCs w:val="21"/>
              </w:rPr>
            </w:pPr>
            <w:r>
              <w:rPr>
                <w:rFonts w:hint="default" w:ascii="Times New Roman" w:hAnsi="Times New Roman" w:eastAsia="方正仿宋_GBK" w:cs="Times New Roman"/>
                <w:szCs w:val="21"/>
              </w:rPr>
              <w:t>3</w:t>
            </w:r>
          </w:p>
        </w:tc>
        <w:tc>
          <w:tcPr>
            <w:tcW w:w="1410" w:type="dxa"/>
            <w:tcBorders>
              <w:top w:val="nil"/>
              <w:left w:val="nil"/>
              <w:bottom w:val="single" w:color="auto" w:sz="6" w:space="0"/>
              <w:right w:val="single" w:color="auto" w:sz="6" w:space="0"/>
            </w:tcBorders>
            <w:tcMar>
              <w:top w:w="0" w:type="dxa"/>
              <w:left w:w="105" w:type="dxa"/>
              <w:bottom w:w="0" w:type="dxa"/>
              <w:right w:w="105" w:type="dxa"/>
            </w:tcMar>
            <w:vAlign w:val="center"/>
          </w:tcPr>
          <w:p>
            <w:pPr>
              <w:spacing w:line="576" w:lineRule="exact"/>
              <w:jc w:val="center"/>
              <w:rPr>
                <w:rFonts w:hint="default" w:ascii="Times New Roman" w:hAnsi="Times New Roman" w:eastAsia="方正仿宋_GBK" w:cs="Times New Roman"/>
                <w:szCs w:val="21"/>
              </w:rPr>
            </w:pPr>
            <w:r>
              <w:rPr>
                <w:rFonts w:hint="default" w:ascii="Times New Roman" w:hAnsi="Times New Roman" w:eastAsia="方正仿宋_GBK" w:cs="Times New Roman"/>
                <w:szCs w:val="21"/>
              </w:rPr>
              <w:t>100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77" w:hRule="atLeast"/>
          <w:jc w:val="center"/>
        </w:trPr>
        <w:tc>
          <w:tcPr>
            <w:tcW w:w="3199" w:type="dxa"/>
            <w:vMerge w:val="continue"/>
            <w:tcBorders>
              <w:left w:val="single" w:color="auto" w:sz="6" w:space="0"/>
              <w:right w:val="single" w:color="auto" w:sz="6" w:space="0"/>
            </w:tcBorders>
            <w:tcMar>
              <w:top w:w="0" w:type="dxa"/>
              <w:left w:w="105" w:type="dxa"/>
              <w:bottom w:w="0" w:type="dxa"/>
              <w:right w:w="105" w:type="dxa"/>
            </w:tcMar>
            <w:vAlign w:val="center"/>
          </w:tcPr>
          <w:p>
            <w:pPr>
              <w:spacing w:line="576" w:lineRule="exact"/>
              <w:jc w:val="center"/>
              <w:rPr>
                <w:rFonts w:hint="default" w:ascii="Times New Roman" w:hAnsi="Times New Roman" w:eastAsia="方正仿宋_GBK" w:cs="Times New Roman"/>
                <w:szCs w:val="21"/>
              </w:rPr>
            </w:pPr>
          </w:p>
        </w:tc>
        <w:tc>
          <w:tcPr>
            <w:tcW w:w="1701" w:type="dxa"/>
            <w:tcBorders>
              <w:top w:val="single" w:color="auto" w:sz="4" w:space="0"/>
              <w:left w:val="nil"/>
              <w:bottom w:val="single" w:color="auto" w:sz="4" w:space="0"/>
              <w:right w:val="single" w:color="auto" w:sz="6" w:space="0"/>
            </w:tcBorders>
            <w:tcMar>
              <w:top w:w="0" w:type="dxa"/>
              <w:left w:w="105" w:type="dxa"/>
              <w:bottom w:w="0" w:type="dxa"/>
              <w:right w:w="105" w:type="dxa"/>
            </w:tcMar>
            <w:vAlign w:val="center"/>
          </w:tcPr>
          <w:p>
            <w:pPr>
              <w:spacing w:line="576" w:lineRule="exact"/>
              <w:jc w:val="center"/>
              <w:rPr>
                <w:rFonts w:hint="default" w:ascii="Times New Roman" w:hAnsi="Times New Roman" w:eastAsia="方正仿宋_GBK" w:cs="Times New Roman"/>
                <w:szCs w:val="21"/>
              </w:rPr>
            </w:pPr>
            <w:r>
              <w:rPr>
                <w:rFonts w:hint="default" w:ascii="Times New Roman" w:hAnsi="Times New Roman" w:eastAsia="方正仿宋_GBK" w:cs="Times New Roman"/>
                <w:szCs w:val="21"/>
              </w:rPr>
              <w:t>滨海县</w:t>
            </w:r>
          </w:p>
        </w:tc>
        <w:tc>
          <w:tcPr>
            <w:tcW w:w="1418" w:type="dxa"/>
            <w:tcBorders>
              <w:top w:val="single" w:color="auto" w:sz="4" w:space="0"/>
              <w:left w:val="nil"/>
              <w:bottom w:val="single" w:color="auto" w:sz="4" w:space="0"/>
              <w:right w:val="single" w:color="auto" w:sz="6" w:space="0"/>
            </w:tcBorders>
            <w:tcMar>
              <w:top w:w="0" w:type="dxa"/>
              <w:left w:w="105" w:type="dxa"/>
              <w:bottom w:w="0" w:type="dxa"/>
              <w:right w:w="105" w:type="dxa"/>
            </w:tcMar>
            <w:vAlign w:val="center"/>
          </w:tcPr>
          <w:p>
            <w:pPr>
              <w:spacing w:line="576" w:lineRule="exact"/>
              <w:jc w:val="center"/>
              <w:rPr>
                <w:rFonts w:hint="default" w:ascii="Times New Roman" w:hAnsi="Times New Roman" w:eastAsia="方正仿宋_GBK" w:cs="Times New Roman"/>
                <w:szCs w:val="21"/>
              </w:rPr>
            </w:pPr>
            <w:r>
              <w:rPr>
                <w:rFonts w:hint="default" w:ascii="Times New Roman" w:hAnsi="Times New Roman" w:eastAsia="方正仿宋_GBK" w:cs="Times New Roman"/>
                <w:szCs w:val="21"/>
              </w:rPr>
              <w:t>3</w:t>
            </w:r>
          </w:p>
        </w:tc>
        <w:tc>
          <w:tcPr>
            <w:tcW w:w="1559" w:type="dxa"/>
            <w:tcBorders>
              <w:top w:val="single" w:color="auto" w:sz="4" w:space="0"/>
              <w:left w:val="nil"/>
              <w:bottom w:val="single" w:color="auto" w:sz="4" w:space="0"/>
              <w:right w:val="single" w:color="auto" w:sz="6" w:space="0"/>
            </w:tcBorders>
            <w:tcMar>
              <w:top w:w="0" w:type="dxa"/>
              <w:left w:w="105" w:type="dxa"/>
              <w:bottom w:w="0" w:type="dxa"/>
              <w:right w:w="105" w:type="dxa"/>
            </w:tcMar>
            <w:vAlign w:val="center"/>
          </w:tcPr>
          <w:p>
            <w:pPr>
              <w:spacing w:line="576" w:lineRule="exact"/>
              <w:jc w:val="center"/>
              <w:rPr>
                <w:rFonts w:hint="default" w:ascii="Times New Roman" w:hAnsi="Times New Roman" w:eastAsia="方正仿宋_GBK" w:cs="Times New Roman"/>
                <w:szCs w:val="21"/>
              </w:rPr>
            </w:pPr>
            <w:r>
              <w:rPr>
                <w:rFonts w:hint="default" w:ascii="Times New Roman" w:hAnsi="Times New Roman" w:eastAsia="方正仿宋_GBK" w:cs="Times New Roman"/>
                <w:szCs w:val="21"/>
              </w:rPr>
              <w:t>3</w:t>
            </w:r>
          </w:p>
        </w:tc>
        <w:tc>
          <w:tcPr>
            <w:tcW w:w="1410" w:type="dxa"/>
            <w:tcBorders>
              <w:top w:val="single" w:color="auto" w:sz="4" w:space="0"/>
              <w:left w:val="nil"/>
              <w:bottom w:val="single" w:color="auto" w:sz="4" w:space="0"/>
              <w:right w:val="single" w:color="auto" w:sz="6" w:space="0"/>
            </w:tcBorders>
            <w:tcMar>
              <w:top w:w="0" w:type="dxa"/>
              <w:left w:w="105" w:type="dxa"/>
              <w:bottom w:w="0" w:type="dxa"/>
              <w:right w:w="105" w:type="dxa"/>
            </w:tcMar>
            <w:vAlign w:val="center"/>
          </w:tcPr>
          <w:p>
            <w:pPr>
              <w:spacing w:line="576" w:lineRule="exact"/>
              <w:jc w:val="center"/>
              <w:rPr>
                <w:rFonts w:hint="default" w:ascii="Times New Roman" w:hAnsi="Times New Roman" w:eastAsia="方正仿宋_GBK" w:cs="Times New Roman"/>
                <w:szCs w:val="21"/>
              </w:rPr>
            </w:pPr>
            <w:r>
              <w:rPr>
                <w:rFonts w:hint="default" w:ascii="Times New Roman" w:hAnsi="Times New Roman" w:eastAsia="方正仿宋_GBK" w:cs="Times New Roman"/>
                <w:szCs w:val="21"/>
              </w:rPr>
              <w:t>100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67" w:hRule="atLeast"/>
          <w:jc w:val="center"/>
        </w:trPr>
        <w:tc>
          <w:tcPr>
            <w:tcW w:w="4900" w:type="dxa"/>
            <w:gridSpan w:val="2"/>
            <w:tcBorders>
              <w:top w:val="single" w:color="auto" w:sz="4" w:space="0"/>
              <w:left w:val="single" w:color="auto" w:sz="6" w:space="0"/>
              <w:bottom w:val="single" w:color="auto" w:sz="6" w:space="0"/>
              <w:right w:val="single" w:color="auto" w:sz="6" w:space="0"/>
            </w:tcBorders>
            <w:vAlign w:val="center"/>
          </w:tcPr>
          <w:p>
            <w:pPr>
              <w:spacing w:line="576" w:lineRule="exact"/>
              <w:jc w:val="center"/>
              <w:rPr>
                <w:rFonts w:hint="default" w:ascii="Times New Roman" w:hAnsi="Times New Roman" w:eastAsia="方正仿宋_GBK" w:cs="Times New Roman"/>
                <w:szCs w:val="21"/>
              </w:rPr>
            </w:pPr>
            <w:r>
              <w:rPr>
                <w:rFonts w:hint="default" w:ascii="Times New Roman" w:hAnsi="Times New Roman" w:eastAsia="方正仿宋_GBK" w:cs="Times New Roman"/>
                <w:szCs w:val="21"/>
              </w:rPr>
              <w:t>合   计</w:t>
            </w:r>
          </w:p>
        </w:tc>
        <w:tc>
          <w:tcPr>
            <w:tcW w:w="1418" w:type="dxa"/>
            <w:tcBorders>
              <w:top w:val="nil"/>
              <w:left w:val="nil"/>
              <w:bottom w:val="single" w:color="auto" w:sz="6" w:space="0"/>
              <w:right w:val="single" w:color="auto" w:sz="6" w:space="0"/>
            </w:tcBorders>
            <w:tcMar>
              <w:top w:w="0" w:type="dxa"/>
              <w:left w:w="105" w:type="dxa"/>
              <w:bottom w:w="0" w:type="dxa"/>
              <w:right w:w="105" w:type="dxa"/>
            </w:tcMar>
            <w:vAlign w:val="center"/>
          </w:tcPr>
          <w:p>
            <w:pPr>
              <w:spacing w:line="576" w:lineRule="exact"/>
              <w:jc w:val="center"/>
              <w:rPr>
                <w:rFonts w:hint="default" w:ascii="Times New Roman" w:hAnsi="Times New Roman" w:eastAsia="方正仿宋_GBK" w:cs="Times New Roman"/>
                <w:szCs w:val="21"/>
              </w:rPr>
            </w:pPr>
            <w:r>
              <w:rPr>
                <w:rFonts w:hint="default" w:ascii="Times New Roman" w:hAnsi="Times New Roman" w:eastAsia="方正仿宋_GBK" w:cs="Times New Roman"/>
                <w:szCs w:val="21"/>
              </w:rPr>
              <w:t>6</w:t>
            </w:r>
          </w:p>
        </w:tc>
        <w:tc>
          <w:tcPr>
            <w:tcW w:w="1559" w:type="dxa"/>
            <w:tcBorders>
              <w:top w:val="nil"/>
              <w:left w:val="nil"/>
              <w:bottom w:val="single" w:color="auto" w:sz="6" w:space="0"/>
              <w:right w:val="single" w:color="auto" w:sz="6" w:space="0"/>
            </w:tcBorders>
            <w:tcMar>
              <w:top w:w="0" w:type="dxa"/>
              <w:left w:w="105" w:type="dxa"/>
              <w:bottom w:w="0" w:type="dxa"/>
              <w:right w:w="105" w:type="dxa"/>
            </w:tcMar>
            <w:vAlign w:val="center"/>
          </w:tcPr>
          <w:p>
            <w:pPr>
              <w:spacing w:line="576" w:lineRule="exact"/>
              <w:jc w:val="center"/>
              <w:rPr>
                <w:rFonts w:hint="default" w:ascii="Times New Roman" w:hAnsi="Times New Roman" w:eastAsia="方正仿宋_GBK" w:cs="Times New Roman"/>
                <w:szCs w:val="21"/>
              </w:rPr>
            </w:pPr>
            <w:r>
              <w:rPr>
                <w:rFonts w:hint="default" w:ascii="Times New Roman" w:hAnsi="Times New Roman" w:eastAsia="方正仿宋_GBK" w:cs="Times New Roman"/>
                <w:szCs w:val="21"/>
              </w:rPr>
              <w:t>6</w:t>
            </w:r>
          </w:p>
        </w:tc>
        <w:tc>
          <w:tcPr>
            <w:tcW w:w="1410" w:type="dxa"/>
            <w:tcBorders>
              <w:top w:val="nil"/>
              <w:left w:val="nil"/>
              <w:bottom w:val="single" w:color="auto" w:sz="6" w:space="0"/>
              <w:right w:val="single" w:color="auto" w:sz="6" w:space="0"/>
            </w:tcBorders>
            <w:tcMar>
              <w:top w:w="0" w:type="dxa"/>
              <w:left w:w="105" w:type="dxa"/>
              <w:bottom w:w="0" w:type="dxa"/>
              <w:right w:w="105" w:type="dxa"/>
            </w:tcMar>
            <w:vAlign w:val="center"/>
          </w:tcPr>
          <w:p>
            <w:pPr>
              <w:spacing w:line="576" w:lineRule="exact"/>
              <w:jc w:val="center"/>
              <w:rPr>
                <w:rFonts w:hint="default" w:ascii="Times New Roman" w:hAnsi="Times New Roman" w:eastAsia="方正仿宋_GBK" w:cs="Times New Roman"/>
                <w:szCs w:val="21"/>
              </w:rPr>
            </w:pPr>
            <w:r>
              <w:rPr>
                <w:rFonts w:hint="default" w:ascii="Times New Roman" w:hAnsi="Times New Roman" w:eastAsia="方正仿宋_GBK" w:cs="Times New Roman"/>
                <w:szCs w:val="21"/>
              </w:rPr>
              <w:t>100</w:t>
            </w:r>
          </w:p>
        </w:tc>
      </w:tr>
    </w:tbl>
    <w:p>
      <w:pPr>
        <w:rPr>
          <w:rFonts w:hint="default" w:ascii="Times New Roman" w:hAnsi="Times New Roman" w:eastAsia="方正楷体_GBK" w:cs="Times New Roman"/>
          <w:bCs/>
          <w:kern w:val="0"/>
          <w:sz w:val="32"/>
          <w:szCs w:val="32"/>
        </w:rPr>
      </w:pPr>
      <w:r>
        <w:rPr>
          <w:rFonts w:hint="default" w:ascii="Times New Roman" w:hAnsi="Times New Roman" w:eastAsia="方正楷体_GBK" w:cs="Times New Roman"/>
          <w:bCs/>
          <w:kern w:val="0"/>
          <w:sz w:val="32"/>
          <w:szCs w:val="32"/>
        </w:rPr>
        <w:br w:type="page"/>
      </w:r>
    </w:p>
    <w:p>
      <w:pPr>
        <w:spacing w:line="576" w:lineRule="exact"/>
        <w:ind w:firstLine="560"/>
        <w:rPr>
          <w:rFonts w:hint="default" w:ascii="Times New Roman" w:hAnsi="Times New Roman" w:eastAsia="方正楷体_GBK" w:cs="Times New Roman"/>
          <w:bCs/>
          <w:kern w:val="0"/>
          <w:sz w:val="32"/>
          <w:szCs w:val="32"/>
        </w:rPr>
      </w:pPr>
      <w:r>
        <w:rPr>
          <w:rFonts w:hint="default" w:ascii="Times New Roman" w:hAnsi="Times New Roman" w:eastAsia="方正楷体_GBK" w:cs="Times New Roman"/>
          <w:bCs/>
          <w:color w:val="000000"/>
          <w:kern w:val="0"/>
          <w:sz w:val="32"/>
          <w:szCs w:val="32"/>
          <w:lang w:val="en-US" w:eastAsia="zh-CN"/>
        </w:rPr>
        <w:t>（二）检验检测项目分析</w:t>
      </w:r>
    </w:p>
    <w:p>
      <w:pPr>
        <w:spacing w:line="576" w:lineRule="exact"/>
        <w:ind w:firstLine="687" w:firstLineChars="214"/>
        <w:rPr>
          <w:rFonts w:hint="default" w:ascii="Times New Roman" w:hAnsi="Times New Roman" w:eastAsia="方正仿宋_GBK" w:cs="Times New Roman"/>
          <w:b/>
          <w:sz w:val="32"/>
          <w:szCs w:val="32"/>
        </w:rPr>
      </w:pPr>
      <w:r>
        <w:rPr>
          <w:rFonts w:hint="default" w:ascii="Times New Roman" w:hAnsi="Times New Roman" w:eastAsia="方正仿宋_GBK" w:cs="Times New Roman"/>
          <w:b/>
          <w:sz w:val="32"/>
          <w:szCs w:val="32"/>
          <w:lang w:val="en-US" w:eastAsia="zh-CN"/>
        </w:rPr>
        <w:t>1.检验检测结果</w:t>
      </w:r>
    </w:p>
    <w:p>
      <w:pPr>
        <w:widowControl/>
        <w:shd w:val="clear" w:color="auto" w:fill="FFFFFF"/>
        <w:spacing w:line="576"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本次监督抽查共抽查危险化学品产品6批次，合格6批次。具体检验检测项目分析见表5。</w:t>
      </w:r>
    </w:p>
    <w:p>
      <w:pPr>
        <w:spacing w:line="576" w:lineRule="exact"/>
        <w:jc w:val="center"/>
        <w:rPr>
          <w:rFonts w:hint="default" w:ascii="Times New Roman" w:hAnsi="Times New Roman" w:eastAsia="方正仿宋_GBK" w:cs="Times New Roman"/>
          <w:b/>
          <w:sz w:val="28"/>
          <w:szCs w:val="28"/>
          <w:lang w:val="en-US" w:eastAsia="zh-CN"/>
        </w:rPr>
      </w:pPr>
      <w:r>
        <w:rPr>
          <w:rFonts w:hint="default" w:ascii="Times New Roman" w:hAnsi="Times New Roman" w:eastAsia="方正仿宋_GBK" w:cs="Times New Roman"/>
          <w:b/>
          <w:sz w:val="28"/>
          <w:szCs w:val="28"/>
          <w:lang w:val="en-US" w:eastAsia="zh-CN"/>
        </w:rPr>
        <w:t>表5  检验项目情况表</w:t>
      </w:r>
    </w:p>
    <w:tbl>
      <w:tblPr>
        <w:tblStyle w:val="6"/>
        <w:tblW w:w="917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55"/>
        <w:gridCol w:w="2621"/>
        <w:gridCol w:w="1997"/>
        <w:gridCol w:w="1998"/>
        <w:gridCol w:w="19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9" w:hRule="atLeast"/>
          <w:jc w:val="center"/>
        </w:trPr>
        <w:tc>
          <w:tcPr>
            <w:tcW w:w="655" w:type="dxa"/>
            <w:vAlign w:val="center"/>
          </w:tcPr>
          <w:p>
            <w:pPr>
              <w:spacing w:line="576" w:lineRule="exact"/>
              <w:jc w:val="center"/>
              <w:rPr>
                <w:rFonts w:hint="default" w:ascii="Times New Roman" w:hAnsi="Times New Roman" w:eastAsia="方正黑体_GBK" w:cs="Times New Roman"/>
                <w:color w:val="000000"/>
                <w:kern w:val="0"/>
                <w:szCs w:val="22"/>
                <w:lang w:eastAsia="zh-CN"/>
              </w:rPr>
            </w:pPr>
            <w:r>
              <w:rPr>
                <w:rFonts w:hint="default" w:ascii="Times New Roman" w:hAnsi="Times New Roman" w:eastAsia="方正黑体_GBK" w:cs="Times New Roman"/>
                <w:color w:val="000000"/>
                <w:kern w:val="0"/>
                <w:szCs w:val="22"/>
                <w:lang w:eastAsia="zh-CN"/>
              </w:rPr>
              <w:t>序号</w:t>
            </w:r>
          </w:p>
        </w:tc>
        <w:tc>
          <w:tcPr>
            <w:tcW w:w="2621" w:type="dxa"/>
            <w:vAlign w:val="center"/>
          </w:tcPr>
          <w:p>
            <w:pPr>
              <w:spacing w:line="576" w:lineRule="exact"/>
              <w:jc w:val="center"/>
              <w:rPr>
                <w:rFonts w:hint="default" w:ascii="Times New Roman" w:hAnsi="Times New Roman" w:eastAsia="方正黑体_GBK" w:cs="Times New Roman"/>
                <w:color w:val="000000"/>
                <w:kern w:val="0"/>
                <w:szCs w:val="22"/>
                <w:lang w:eastAsia="zh-CN"/>
              </w:rPr>
            </w:pPr>
            <w:r>
              <w:rPr>
                <w:rFonts w:hint="default" w:ascii="Times New Roman" w:hAnsi="Times New Roman" w:eastAsia="方正黑体_GBK" w:cs="Times New Roman"/>
                <w:color w:val="000000"/>
                <w:kern w:val="0"/>
                <w:szCs w:val="22"/>
                <w:lang w:eastAsia="zh-CN"/>
              </w:rPr>
              <w:t>检验项目名称</w:t>
            </w:r>
          </w:p>
        </w:tc>
        <w:tc>
          <w:tcPr>
            <w:tcW w:w="1997" w:type="dxa"/>
            <w:vAlign w:val="center"/>
          </w:tcPr>
          <w:p>
            <w:pPr>
              <w:spacing w:line="576" w:lineRule="exact"/>
              <w:jc w:val="center"/>
              <w:rPr>
                <w:rFonts w:hint="default" w:ascii="Times New Roman" w:hAnsi="Times New Roman" w:eastAsia="方正黑体_GBK" w:cs="Times New Roman"/>
                <w:color w:val="000000"/>
                <w:kern w:val="0"/>
                <w:szCs w:val="22"/>
                <w:lang w:eastAsia="zh-CN"/>
              </w:rPr>
            </w:pPr>
            <w:r>
              <w:rPr>
                <w:rFonts w:hint="default" w:ascii="Times New Roman" w:hAnsi="Times New Roman" w:eastAsia="方正黑体_GBK" w:cs="Times New Roman"/>
                <w:color w:val="000000"/>
                <w:kern w:val="0"/>
                <w:szCs w:val="22"/>
                <w:lang w:eastAsia="zh-CN"/>
              </w:rPr>
              <w:t>检验批次数</w:t>
            </w:r>
          </w:p>
        </w:tc>
        <w:tc>
          <w:tcPr>
            <w:tcW w:w="1998" w:type="dxa"/>
            <w:vAlign w:val="center"/>
          </w:tcPr>
          <w:p>
            <w:pPr>
              <w:spacing w:line="576" w:lineRule="exact"/>
              <w:jc w:val="center"/>
              <w:rPr>
                <w:rFonts w:hint="default" w:ascii="Times New Roman" w:hAnsi="Times New Roman" w:eastAsia="方正黑体_GBK" w:cs="Times New Roman"/>
                <w:color w:val="000000"/>
                <w:kern w:val="0"/>
                <w:szCs w:val="22"/>
                <w:lang w:eastAsia="zh-CN"/>
              </w:rPr>
            </w:pPr>
            <w:r>
              <w:rPr>
                <w:rFonts w:hint="default" w:ascii="Times New Roman" w:hAnsi="Times New Roman" w:eastAsia="方正黑体_GBK" w:cs="Times New Roman"/>
                <w:color w:val="000000"/>
                <w:kern w:val="0"/>
                <w:szCs w:val="22"/>
                <w:lang w:eastAsia="zh-CN"/>
              </w:rPr>
              <w:t>合格批次数</w:t>
            </w:r>
          </w:p>
        </w:tc>
        <w:tc>
          <w:tcPr>
            <w:tcW w:w="1903" w:type="dxa"/>
            <w:vAlign w:val="center"/>
          </w:tcPr>
          <w:p>
            <w:pPr>
              <w:spacing w:line="576" w:lineRule="exact"/>
              <w:jc w:val="center"/>
              <w:rPr>
                <w:rFonts w:hint="default" w:ascii="Times New Roman" w:hAnsi="Times New Roman" w:eastAsia="方正黑体_GBK" w:cs="Times New Roman"/>
                <w:color w:val="000000"/>
                <w:kern w:val="0"/>
                <w:szCs w:val="22"/>
                <w:lang w:eastAsia="zh-CN"/>
              </w:rPr>
            </w:pPr>
            <w:r>
              <w:rPr>
                <w:rFonts w:hint="default" w:ascii="Times New Roman" w:hAnsi="Times New Roman" w:eastAsia="方正黑体_GBK" w:cs="Times New Roman"/>
                <w:color w:val="000000"/>
                <w:kern w:val="0"/>
                <w:szCs w:val="22"/>
                <w:lang w:val="en-US" w:eastAsia="zh-CN"/>
              </w:rPr>
              <w:t>项目</w:t>
            </w:r>
            <w:r>
              <w:rPr>
                <w:rFonts w:hint="default" w:ascii="Times New Roman" w:hAnsi="Times New Roman" w:eastAsia="方正黑体_GBK" w:cs="Times New Roman"/>
                <w:color w:val="000000"/>
                <w:kern w:val="0"/>
                <w:szCs w:val="22"/>
                <w:lang w:eastAsia="zh-CN"/>
              </w:rPr>
              <w:t>合格率（％）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 w:hRule="atLeast"/>
          <w:jc w:val="center"/>
        </w:trPr>
        <w:tc>
          <w:tcPr>
            <w:tcW w:w="655" w:type="dxa"/>
            <w:vAlign w:val="center"/>
          </w:tcPr>
          <w:p>
            <w:pPr>
              <w:spacing w:line="576" w:lineRule="exact"/>
              <w:jc w:val="center"/>
              <w:rPr>
                <w:rFonts w:hint="default" w:ascii="Times New Roman" w:hAnsi="Times New Roman" w:eastAsia="方正仿宋_GBK" w:cs="Times New Roman"/>
                <w:szCs w:val="21"/>
              </w:rPr>
            </w:pPr>
            <w:r>
              <w:rPr>
                <w:rFonts w:hint="default" w:ascii="Times New Roman" w:hAnsi="Times New Roman" w:eastAsia="方正仿宋_GBK" w:cs="Times New Roman"/>
                <w:szCs w:val="21"/>
              </w:rPr>
              <w:t>1</w:t>
            </w:r>
          </w:p>
        </w:tc>
        <w:tc>
          <w:tcPr>
            <w:tcW w:w="2621" w:type="dxa"/>
            <w:vAlign w:val="center"/>
          </w:tcPr>
          <w:p>
            <w:pPr>
              <w:jc w:val="center"/>
              <w:rPr>
                <w:rFonts w:hint="default" w:ascii="Times New Roman" w:hAnsi="Times New Roman" w:eastAsia="方正仿宋_GBK" w:cs="Times New Roman"/>
                <w:szCs w:val="21"/>
              </w:rPr>
            </w:pPr>
            <w:r>
              <w:rPr>
                <w:rFonts w:hint="default" w:ascii="Times New Roman" w:hAnsi="Times New Roman" w:cs="Times New Roman"/>
              </w:rPr>
              <w:t>总酸度（HCl）</w:t>
            </w:r>
          </w:p>
        </w:tc>
        <w:tc>
          <w:tcPr>
            <w:tcW w:w="1997" w:type="dxa"/>
            <w:vAlign w:val="center"/>
          </w:tcPr>
          <w:p>
            <w:pPr>
              <w:spacing w:line="576" w:lineRule="exact"/>
              <w:jc w:val="center"/>
              <w:rPr>
                <w:rFonts w:hint="default" w:ascii="Times New Roman" w:hAnsi="Times New Roman" w:eastAsia="方正仿宋_GBK" w:cs="Times New Roman"/>
                <w:szCs w:val="21"/>
              </w:rPr>
            </w:pPr>
            <w:r>
              <w:rPr>
                <w:rFonts w:hint="default" w:ascii="Times New Roman" w:hAnsi="Times New Roman" w:eastAsia="方正仿宋_GBK" w:cs="Times New Roman"/>
                <w:szCs w:val="21"/>
              </w:rPr>
              <w:t>6</w:t>
            </w:r>
          </w:p>
        </w:tc>
        <w:tc>
          <w:tcPr>
            <w:tcW w:w="1998" w:type="dxa"/>
            <w:vAlign w:val="center"/>
          </w:tcPr>
          <w:p>
            <w:pPr>
              <w:spacing w:line="576" w:lineRule="exact"/>
              <w:jc w:val="center"/>
              <w:rPr>
                <w:rFonts w:hint="default" w:ascii="Times New Roman" w:hAnsi="Times New Roman" w:eastAsia="方正仿宋_GBK" w:cs="Times New Roman"/>
                <w:szCs w:val="21"/>
              </w:rPr>
            </w:pPr>
            <w:r>
              <w:rPr>
                <w:rFonts w:hint="default" w:ascii="Times New Roman" w:hAnsi="Times New Roman" w:eastAsia="方正仿宋_GBK" w:cs="Times New Roman"/>
                <w:szCs w:val="21"/>
              </w:rPr>
              <w:t>6</w:t>
            </w:r>
          </w:p>
        </w:tc>
        <w:tc>
          <w:tcPr>
            <w:tcW w:w="1903" w:type="dxa"/>
            <w:vAlign w:val="center"/>
          </w:tcPr>
          <w:p>
            <w:pPr>
              <w:spacing w:line="576" w:lineRule="exact"/>
              <w:jc w:val="center"/>
              <w:rPr>
                <w:rFonts w:hint="default" w:ascii="Times New Roman" w:hAnsi="Times New Roman" w:eastAsia="方正仿宋_GBK" w:cs="Times New Roman"/>
                <w:szCs w:val="21"/>
              </w:rPr>
            </w:pPr>
            <w:r>
              <w:rPr>
                <w:rFonts w:hint="default" w:ascii="Times New Roman" w:hAnsi="Times New Roman" w:eastAsia="方正仿宋_GBK" w:cs="Times New Roman"/>
                <w:szCs w:val="21"/>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 w:hRule="atLeast"/>
          <w:jc w:val="center"/>
        </w:trPr>
        <w:tc>
          <w:tcPr>
            <w:tcW w:w="655" w:type="dxa"/>
            <w:vAlign w:val="center"/>
          </w:tcPr>
          <w:p>
            <w:pPr>
              <w:spacing w:line="576" w:lineRule="exact"/>
              <w:jc w:val="center"/>
              <w:rPr>
                <w:rFonts w:hint="default" w:ascii="Times New Roman" w:hAnsi="Times New Roman" w:eastAsia="方正仿宋_GBK" w:cs="Times New Roman"/>
                <w:szCs w:val="21"/>
              </w:rPr>
            </w:pPr>
            <w:r>
              <w:rPr>
                <w:rFonts w:hint="default" w:ascii="Times New Roman" w:hAnsi="Times New Roman" w:eastAsia="方正仿宋_GBK" w:cs="Times New Roman"/>
                <w:szCs w:val="21"/>
              </w:rPr>
              <w:t>2</w:t>
            </w:r>
          </w:p>
        </w:tc>
        <w:tc>
          <w:tcPr>
            <w:tcW w:w="2621" w:type="dxa"/>
            <w:vAlign w:val="center"/>
          </w:tcPr>
          <w:p>
            <w:pPr>
              <w:jc w:val="center"/>
              <w:rPr>
                <w:rFonts w:hint="default" w:ascii="Times New Roman" w:hAnsi="Times New Roman" w:cs="Times New Roman"/>
              </w:rPr>
            </w:pPr>
            <w:r>
              <w:rPr>
                <w:rFonts w:hint="default" w:ascii="Times New Roman" w:hAnsi="Times New Roman" w:cs="Times New Roman"/>
              </w:rPr>
              <w:t>重金属</w:t>
            </w:r>
          </w:p>
          <w:p>
            <w:pPr>
              <w:jc w:val="center"/>
              <w:rPr>
                <w:rFonts w:hint="default" w:ascii="Times New Roman" w:hAnsi="Times New Roman" w:eastAsia="方正仿宋_GBK" w:cs="Times New Roman"/>
                <w:szCs w:val="21"/>
              </w:rPr>
            </w:pPr>
            <w:r>
              <w:rPr>
                <w:rFonts w:hint="default" w:ascii="Times New Roman" w:hAnsi="Times New Roman" w:cs="Times New Roman"/>
              </w:rPr>
              <w:t>（以Pb计）</w:t>
            </w:r>
          </w:p>
        </w:tc>
        <w:tc>
          <w:tcPr>
            <w:tcW w:w="1997" w:type="dxa"/>
            <w:vAlign w:val="center"/>
          </w:tcPr>
          <w:p>
            <w:pPr>
              <w:spacing w:line="576" w:lineRule="exact"/>
              <w:jc w:val="center"/>
              <w:rPr>
                <w:rFonts w:hint="default" w:ascii="Times New Roman" w:hAnsi="Times New Roman" w:eastAsia="方正仿宋_GBK" w:cs="Times New Roman"/>
                <w:szCs w:val="21"/>
              </w:rPr>
            </w:pPr>
            <w:r>
              <w:rPr>
                <w:rFonts w:hint="default" w:ascii="Times New Roman" w:hAnsi="Times New Roman" w:eastAsia="方正仿宋_GBK" w:cs="Times New Roman"/>
                <w:szCs w:val="21"/>
              </w:rPr>
              <w:t>6</w:t>
            </w:r>
          </w:p>
        </w:tc>
        <w:tc>
          <w:tcPr>
            <w:tcW w:w="1998" w:type="dxa"/>
            <w:vAlign w:val="center"/>
          </w:tcPr>
          <w:p>
            <w:pPr>
              <w:spacing w:line="576" w:lineRule="exact"/>
              <w:jc w:val="center"/>
              <w:rPr>
                <w:rFonts w:hint="default" w:ascii="Times New Roman" w:hAnsi="Times New Roman" w:eastAsia="方正仿宋_GBK" w:cs="Times New Roman"/>
                <w:szCs w:val="21"/>
              </w:rPr>
            </w:pPr>
            <w:r>
              <w:rPr>
                <w:rFonts w:hint="default" w:ascii="Times New Roman" w:hAnsi="Times New Roman" w:eastAsia="方正仿宋_GBK" w:cs="Times New Roman"/>
                <w:szCs w:val="21"/>
              </w:rPr>
              <w:t>6</w:t>
            </w:r>
          </w:p>
        </w:tc>
        <w:tc>
          <w:tcPr>
            <w:tcW w:w="1903" w:type="dxa"/>
            <w:vAlign w:val="center"/>
          </w:tcPr>
          <w:p>
            <w:pPr>
              <w:spacing w:line="576" w:lineRule="exact"/>
              <w:jc w:val="center"/>
              <w:rPr>
                <w:rFonts w:hint="default" w:ascii="Times New Roman" w:hAnsi="Times New Roman" w:eastAsia="方正仿宋_GBK" w:cs="Times New Roman"/>
                <w:szCs w:val="21"/>
              </w:rPr>
            </w:pPr>
            <w:r>
              <w:rPr>
                <w:rFonts w:hint="default" w:ascii="Times New Roman" w:hAnsi="Times New Roman" w:eastAsia="方正仿宋_GBK" w:cs="Times New Roman"/>
                <w:szCs w:val="21"/>
              </w:rPr>
              <w:t>100</w:t>
            </w:r>
          </w:p>
        </w:tc>
      </w:tr>
    </w:tbl>
    <w:p>
      <w:pPr>
        <w:spacing w:line="576" w:lineRule="exact"/>
        <w:ind w:firstLine="687" w:firstLineChars="214"/>
        <w:rPr>
          <w:rFonts w:hint="default" w:ascii="Times New Roman" w:hAnsi="Times New Roman" w:eastAsia="方正仿宋_GBK" w:cs="Times New Roman"/>
          <w:b/>
          <w:sz w:val="32"/>
          <w:szCs w:val="32"/>
        </w:rPr>
      </w:pPr>
      <w:r>
        <w:rPr>
          <w:rFonts w:hint="default" w:ascii="Times New Roman" w:hAnsi="Times New Roman" w:eastAsia="方正仿宋_GBK" w:cs="Times New Roman"/>
          <w:b/>
          <w:sz w:val="32"/>
          <w:szCs w:val="32"/>
          <w:lang w:val="en-US" w:eastAsia="zh-CN"/>
        </w:rPr>
        <w:t>2.易不合格项目分析</w:t>
      </w:r>
    </w:p>
    <w:p>
      <w:pPr>
        <w:widowControl/>
        <w:shd w:val="clear" w:color="auto" w:fill="FFFFFF"/>
        <w:spacing w:line="560" w:lineRule="exact"/>
        <w:ind w:firstLine="640" w:firstLineChars="200"/>
        <w:rPr>
          <w:rFonts w:hint="default" w:ascii="Times New Roman" w:hAnsi="Times New Roman" w:eastAsia="仿宋" w:cs="Times New Roman"/>
          <w:kern w:val="0"/>
          <w:sz w:val="32"/>
          <w:szCs w:val="32"/>
        </w:rPr>
      </w:pPr>
      <w:r>
        <w:rPr>
          <w:rFonts w:hint="default" w:ascii="Times New Roman" w:hAnsi="Times New Roman" w:eastAsia="方正仿宋_GBK" w:cs="Times New Roman"/>
          <w:sz w:val="32"/>
          <w:szCs w:val="32"/>
          <w:lang w:val="en-US" w:eastAsia="zh-CN"/>
        </w:rPr>
        <w:t>总酸度是影响副产盐酸浓度的重要指标，不合格会造成副产盐酸浓度低或超标。其原因是</w:t>
      </w:r>
      <w:r>
        <w:rPr>
          <w:rFonts w:hint="default" w:ascii="Times New Roman" w:hAnsi="Times New Roman" w:eastAsia="方正仿宋_GBK" w:cs="Times New Roman"/>
          <w:sz w:val="32"/>
          <w:szCs w:val="32"/>
        </w:rPr>
        <w:t>生产企业对原料把关不严或偷工减料、弄虚作假</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容易造成产品主含量不合格。</w:t>
      </w:r>
    </w:p>
    <w:p>
      <w:pPr>
        <w:spacing w:line="576" w:lineRule="exact"/>
        <w:ind w:firstLine="560"/>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四、消费建议</w:t>
      </w:r>
    </w:p>
    <w:p>
      <w:pPr>
        <w:spacing w:line="576" w:lineRule="exact"/>
        <w:ind w:firstLine="560"/>
        <w:rPr>
          <w:rFonts w:hint="default" w:ascii="Times New Roman" w:hAnsi="Times New Roman" w:eastAsia="方正楷体_GBK" w:cs="Times New Roman"/>
          <w:bCs/>
          <w:color w:val="000000"/>
          <w:kern w:val="0"/>
          <w:sz w:val="32"/>
          <w:szCs w:val="32"/>
          <w:lang w:val="en-US" w:eastAsia="zh-CN"/>
        </w:rPr>
      </w:pPr>
      <w:r>
        <w:rPr>
          <w:rFonts w:hint="default" w:ascii="Times New Roman" w:hAnsi="Times New Roman" w:eastAsia="方正楷体_GBK" w:cs="Times New Roman"/>
          <w:bCs/>
          <w:color w:val="000000"/>
          <w:kern w:val="0"/>
          <w:sz w:val="32"/>
          <w:szCs w:val="32"/>
          <w:lang w:val="en-US" w:eastAsia="zh-CN"/>
        </w:rPr>
        <w:t>（一）购买须知</w:t>
      </w:r>
    </w:p>
    <w:p>
      <w:pPr>
        <w:widowControl/>
        <w:shd w:val="clear" w:color="auto" w:fill="FFFFFF"/>
        <w:spacing w:line="576"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1.危险化学品使用单位不得向未取得危险化学品经营许可证的企业采购危险化学品。</w:t>
      </w:r>
    </w:p>
    <w:p>
      <w:pPr>
        <w:widowControl/>
        <w:shd w:val="clear" w:color="auto" w:fill="FFFFFF"/>
        <w:spacing w:line="576"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2.危险化学品经销单位不得向未取得《安全生产许可证》的危险化学品生产企业采购危险化学品。</w:t>
      </w:r>
    </w:p>
    <w:p>
      <w:pPr>
        <w:widowControl/>
        <w:shd w:val="clear" w:color="auto" w:fill="FFFFFF"/>
        <w:spacing w:line="540" w:lineRule="exact"/>
        <w:ind w:firstLine="640" w:firstLineChars="200"/>
        <w:rPr>
          <w:rFonts w:hint="default" w:ascii="Times New Roman" w:hAnsi="Times New Roman" w:eastAsia="方正楷体_GBK" w:cs="Times New Roman"/>
          <w:bCs/>
          <w:kern w:val="0"/>
          <w:sz w:val="32"/>
          <w:szCs w:val="32"/>
        </w:rPr>
      </w:pPr>
      <w:r>
        <w:rPr>
          <w:rFonts w:hint="default" w:ascii="Times New Roman" w:hAnsi="Times New Roman" w:eastAsia="方正楷体_GBK" w:cs="Times New Roman"/>
          <w:bCs/>
          <w:color w:val="000000"/>
          <w:kern w:val="0"/>
          <w:sz w:val="32"/>
          <w:szCs w:val="32"/>
          <w:lang w:val="en-US" w:eastAsia="zh-CN"/>
        </w:rPr>
        <w:t>（二）使用须知</w:t>
      </w:r>
    </w:p>
    <w:p>
      <w:pPr>
        <w:widowControl/>
        <w:shd w:val="clear" w:color="auto" w:fill="FFFFFF"/>
        <w:spacing w:line="576"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1.领料时，做好危险化学品领用记录。领料途中要考虑环境是否对领料构成危险，否则要采取安全预防措施。</w:t>
      </w:r>
    </w:p>
    <w:p>
      <w:pPr>
        <w:widowControl/>
        <w:shd w:val="clear" w:color="auto" w:fill="FFFFFF"/>
        <w:spacing w:line="576"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2.在危险化学品存储场所设置相应的安全设施、设备，并按照国家标准和国家有关规定进行安全警示、维护、保养，保证符合安全生产运行要求。</w:t>
      </w:r>
    </w:p>
    <w:p>
      <w:pPr>
        <w:widowControl/>
        <w:shd w:val="clear" w:color="auto" w:fill="FFFFFF"/>
        <w:spacing w:line="576"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3.使用危险化学品岗位绝对禁止烟火，防止抛掷、摩擦、撞击，禁止穿尼龙衣服。</w:t>
      </w:r>
    </w:p>
    <w:p>
      <w:pPr>
        <w:widowControl/>
        <w:shd w:val="clear" w:color="auto" w:fill="FFFFFF"/>
        <w:spacing w:line="576"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4.危险化学品的容器在使用前后必须确保干净。</w:t>
      </w:r>
    </w:p>
    <w:p>
      <w:pPr>
        <w:pStyle w:val="2"/>
        <w:ind w:firstLine="64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5.危险化学品使用人员必须穿戴劳保用品。</w:t>
      </w:r>
    </w:p>
    <w:p>
      <w:pPr>
        <w:pStyle w:val="2"/>
        <w:ind w:firstLine="640"/>
        <w:rPr>
          <w:rFonts w:hint="default" w:ascii="Times New Roman" w:hAnsi="Times New Roman" w:eastAsia="方正仿宋_GBK" w:cs="Times New Roman"/>
          <w:sz w:val="32"/>
          <w:szCs w:val="32"/>
        </w:rPr>
      </w:pPr>
    </w:p>
    <w:sectPr>
      <w:footerReference r:id="rId3" w:type="default"/>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modern"/>
    <w:pitch w:val="default"/>
    <w:sig w:usb0="E0002AFF" w:usb1="C0007841" w:usb2="00000009" w:usb3="00000000" w:csb0="400001FF" w:csb1="FFFF0000"/>
  </w:font>
  <w:font w:name="宋体">
    <w:panose1 w:val="02010600030101010101"/>
    <w:charset w:val="7A"/>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黑体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仿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2F7676"/>
    <w:rsid w:val="0014322F"/>
    <w:rsid w:val="002A5A1A"/>
    <w:rsid w:val="002E0116"/>
    <w:rsid w:val="002F7676"/>
    <w:rsid w:val="00BE198E"/>
    <w:rsid w:val="00C836C9"/>
    <w:rsid w:val="098528F1"/>
    <w:rsid w:val="10D23B5B"/>
    <w:rsid w:val="2C664D93"/>
    <w:rsid w:val="2CAA494A"/>
    <w:rsid w:val="39786376"/>
    <w:rsid w:val="3E597298"/>
    <w:rsid w:val="438F228F"/>
    <w:rsid w:val="44572121"/>
    <w:rsid w:val="56265898"/>
    <w:rsid w:val="62472D7D"/>
    <w:rsid w:val="67157FED"/>
    <w:rsid w:val="7A4B5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1"/>
    <w:qFormat/>
    <w:uiPriority w:val="99"/>
    <w:pPr>
      <w:spacing w:line="360" w:lineRule="auto"/>
      <w:ind w:firstLine="200" w:firstLineChars="200"/>
    </w:pPr>
    <w:rPr>
      <w:rFonts w:ascii="仿宋_GB2312" w:eastAsia="仿宋_GB2312"/>
      <w:sz w:val="30"/>
      <w:szCs w:val="30"/>
    </w:rPr>
  </w:style>
  <w:style w:type="paragraph" w:styleId="3">
    <w:name w:val="Body Text"/>
    <w:basedOn w:val="1"/>
    <w:qFormat/>
    <w:uiPriority w:val="99"/>
    <w:pPr>
      <w:ind w:left="104"/>
    </w:pPr>
    <w:rPr>
      <w:rFonts w:hint="eastAsia" w:ascii="宋体"/>
      <w:sz w:val="28"/>
    </w:rPr>
  </w:style>
  <w:style w:type="paragraph" w:styleId="4">
    <w:name w:val="footer"/>
    <w:basedOn w:val="1"/>
    <w:link w:val="9"/>
    <w:qFormat/>
    <w:uiPriority w:val="0"/>
    <w:pPr>
      <w:tabs>
        <w:tab w:val="center" w:pos="4153"/>
        <w:tab w:val="right" w:pos="8306"/>
      </w:tabs>
      <w:snapToGrid w:val="0"/>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0"/>
    <w:rPr>
      <w:kern w:val="2"/>
      <w:sz w:val="18"/>
      <w:szCs w:val="18"/>
    </w:rPr>
  </w:style>
  <w:style w:type="character" w:customStyle="1" w:styleId="9">
    <w:name w:val="页脚 Char"/>
    <w:basedOn w:val="7"/>
    <w:link w:val="4"/>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1479</Words>
  <Characters>1583</Characters>
  <Lines>12</Lines>
  <Paragraphs>3</Paragraphs>
  <TotalTime>16</TotalTime>
  <ScaleCrop>false</ScaleCrop>
  <LinksUpToDate>false</LinksUpToDate>
  <CharactersWithSpaces>1606</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2021-11-22T05:25:00Z</dcterms:created>
  <dc:creator>pc</dc:creator>
  <cp:lastModifiedBy>王新生</cp:lastModifiedBy>
  <dcterms:modified xsi:type="dcterms:W3CDTF">2021-12-06T01:07:46Z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y fmtid="{D5CDD505-2E9C-101B-9397-08002B2CF9AE}" pid="3" name="ICV">
    <vt:lpwstr>2033D08288DB4EB08D55A5B7A61DA550</vt:lpwstr>
  </property>
</Properties>
</file>