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Times New Roman" w:hAnsi="Times New Roman" w:cs="Times New Roman"/>
          <w:color w:val="auto"/>
          <w:highlight w:val="none"/>
          <w:lang w:val="en-US"/>
        </w:rPr>
      </w:pPr>
      <w:bookmarkStart w:id="0" w:name="_GoBack"/>
      <w:bookmarkEnd w:id="0"/>
      <w:r>
        <w:rPr>
          <w:rFonts w:hint="default" w:ascii="Times New Roman" w:hAnsi="Times New Roman" w:eastAsia="黑体" w:cs="Times New Roman"/>
          <w:color w:val="auto"/>
          <w:highlight w:val="none"/>
        </w:rPr>
        <w:t>附件</w:t>
      </w:r>
      <w:r>
        <w:rPr>
          <w:rFonts w:hint="default" w:ascii="Times New Roman" w:hAnsi="Times New Roman" w:eastAsia="黑体" w:cs="Times New Roman"/>
          <w:color w:val="auto"/>
          <w:highlight w:val="none"/>
          <w:lang w:val="en-US" w:eastAsia="zh-CN"/>
        </w:rPr>
        <w:t>12</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w:t>
      </w:r>
      <w:r>
        <w:rPr>
          <w:rFonts w:hint="eastAsia" w:ascii="方正小标宋简体" w:hAnsi="仿宋" w:eastAsia="方正小标宋简体" w:cs="仿宋"/>
          <w:sz w:val="44"/>
          <w:szCs w:val="44"/>
          <w:highlight w:val="none"/>
          <w:lang w:eastAsia="zh-CN"/>
        </w:rPr>
        <w:t>抽检项目</w:t>
      </w:r>
      <w:r>
        <w:rPr>
          <w:rFonts w:hint="eastAsia" w:ascii="方正小标宋简体" w:hAnsi="仿宋" w:eastAsia="方正小标宋简体" w:cs="仿宋"/>
          <w:sz w:val="44"/>
          <w:szCs w:val="44"/>
          <w:highlight w:val="none"/>
        </w:rPr>
        <w:t>的说明</w:t>
      </w:r>
    </w:p>
    <w:p>
      <w:pPr>
        <w:widowControl/>
        <w:shd w:val="clear" w:color="auto" w:fill="FFFFFF"/>
        <w:snapToGrid w:val="0"/>
        <w:spacing w:line="590" w:lineRule="exact"/>
        <w:rPr>
          <w:rFonts w:hint="eastAsia" w:ascii="Times New Roman" w:hAnsi="Times New Roman" w:eastAsia="仿宋_GB2312"/>
          <w:highlight w:val="none"/>
        </w:rPr>
      </w:pPr>
    </w:p>
    <w:p>
      <w:pPr>
        <w:spacing w:line="600" w:lineRule="exact"/>
        <w:ind w:firstLine="640"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一</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酸价（以脂肪计）（KOH）</w:t>
      </w:r>
    </w:p>
    <w:p>
      <w:pPr>
        <w:widowControl/>
        <w:shd w:val="clear" w:color="auto" w:fill="FFFFFF"/>
        <w:snapToGrid w:val="0"/>
        <w:spacing w:line="590" w:lineRule="exact"/>
        <w:ind w:firstLine="640"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酸价主要反映食品中的油脂酸败程度。酸价超标会导致食品有哈喇味，超标严重时所产生的醛、酮、酸会破坏脂溶性维生素，导致肠胃不适。《食品安全国家标准</w:t>
      </w:r>
      <w:r>
        <w:rPr>
          <w:rFonts w:hint="eastAsia" w:ascii="Times New Roman" w:hAnsi="Times New Roman" w:eastAsia="仿宋_GB2312" w:cs="Times New Roman"/>
          <w:color w:val="auto"/>
          <w:highlight w:val="none"/>
          <w:lang w:val="en-US" w:eastAsia="zh-CN"/>
        </w:rPr>
        <w:t xml:space="preserve"> </w:t>
      </w:r>
      <w:r>
        <w:rPr>
          <w:rFonts w:hint="eastAsia" w:ascii="Times New Roman" w:hAnsi="Times New Roman" w:eastAsia="仿宋_GB2312" w:cs="Times New Roman"/>
          <w:color w:val="auto"/>
          <w:highlight w:val="none"/>
        </w:rPr>
        <w:t>饼干》（GB 7100</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2015）中规定，饼干中酸价（以脂肪计）的最大限量值为5mg/g。造成酸价不合格的主要原因，可能是企业原料采购把关不严、生产工艺不达标、产品储藏条件不当，特别是存贮温度较高时易导致食品中的脂肪氧化酸败。</w:t>
      </w:r>
    </w:p>
    <w:p>
      <w:pPr>
        <w:spacing w:line="600" w:lineRule="exact"/>
        <w:ind w:firstLine="640"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二</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过氧化值（以脂肪计）</w:t>
      </w:r>
    </w:p>
    <w:p>
      <w:pPr>
        <w:widowControl/>
        <w:shd w:val="clear" w:color="auto" w:fill="FFFFFF"/>
        <w:snapToGrid w:val="0"/>
        <w:spacing w:line="590" w:lineRule="exact"/>
        <w:ind w:firstLine="640" w:firstLineChars="200"/>
        <w:rPr>
          <w:rFonts w:hint="eastAsia" w:ascii="Times New Roman" w:hAnsi="Times New Roman" w:eastAsia="仿宋_GB2312" w:cs="Times New Roman"/>
          <w:color w:val="auto"/>
          <w:highlight w:val="none"/>
        </w:rPr>
      </w:pPr>
      <w:r>
        <w:rPr>
          <w:rFonts w:hint="eastAsia" w:eastAsia="仿宋_GB2312"/>
          <w:sz w:val="32"/>
          <w:szCs w:val="32"/>
        </w:rPr>
        <w:t>过氧化值（以脂肪计）主要反映食品中油脂是否氧化变质。随着油脂氧化，过氧化值会逐步升高，虽一般不会对人体的健康产生损害，但严重时会导致肠胃不适、腹泻等症状。《食品安全国家标准 饼干》（GB 7100</w:t>
      </w:r>
      <w:r>
        <w:rPr>
          <w:rFonts w:hint="eastAsia" w:eastAsia="仿宋_GB2312"/>
          <w:sz w:val="32"/>
          <w:szCs w:val="32"/>
          <w:lang w:val="en-US" w:eastAsia="zh-CN"/>
        </w:rPr>
        <w:t>-</w:t>
      </w:r>
      <w:r>
        <w:rPr>
          <w:rFonts w:hint="eastAsia" w:eastAsia="仿宋_GB2312"/>
          <w:sz w:val="32"/>
          <w:szCs w:val="32"/>
        </w:rPr>
        <w:t>2015）中规定，饼干中的过氧化值（以脂肪计）的最大限量值为0.25g/100g。过氧化值超标的原因，可能是原料油脂储存不当导致脂肪氧化、生产用油变质，或者样品漏气、储存过程中环境条件控制不当导致产品酸败变质</w:t>
      </w:r>
      <w:r>
        <w:rPr>
          <w:rFonts w:hint="eastAsia" w:ascii="Times New Roman" w:hAnsi="Times New Roman" w:eastAsia="仿宋_GB2312" w:cs="Times New Roman"/>
          <w:color w:val="auto"/>
          <w:highlight w:val="none"/>
        </w:rPr>
        <w:t>。</w:t>
      </w:r>
    </w:p>
    <w:p>
      <w:pPr>
        <w:spacing w:line="600" w:lineRule="exact"/>
        <w:ind w:firstLine="640"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三</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铜绿假单胞菌</w:t>
      </w:r>
    </w:p>
    <w:p>
      <w:pPr>
        <w:keepNext w:val="0"/>
        <w:keepLines w:val="0"/>
        <w:pageBreakBefore w:val="0"/>
        <w:widowControl w:val="0"/>
        <w:kinsoku/>
        <w:wordWrap/>
        <w:overflowPunct/>
        <w:topLinePunct w:val="0"/>
        <w:autoSpaceDE/>
        <w:autoSpaceDN/>
        <w:bidi w:val="0"/>
        <w:adjustRightInd/>
        <w:snapToGrid/>
        <w:ind w:firstLine="640" w:firstLineChars="200"/>
        <w:textAlignment w:val="auto"/>
      </w:pPr>
      <w:r>
        <w:rPr>
          <w:rFonts w:hint="eastAsia" w:ascii="Times New Roman" w:hAnsi="Times New Roman" w:eastAsia="仿宋_GB2312" w:cs="Times New Roman"/>
          <w:color w:val="auto"/>
          <w:highlight w:val="none"/>
        </w:rPr>
        <w:t>铜绿假单胞菌是一种常见的条件致病菌，属于非发酵革兰氏阴性杆菌。本菌普遍存在，而在潮湿环境尤甚。饮用水中超标可能是由于个别企业未按要求严格控制生产加工过程的卫生条件，或者包装容器清洗消毒不到位等有关。</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800616"/>
    <w:rsid w:val="128006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宋体"/>
      <w:sz w:val="21"/>
      <w:szCs w:val="21"/>
    </w:rPr>
  </w:style>
  <w:style w:type="paragraph" w:styleId="3">
    <w:name w:val="footer"/>
    <w:basedOn w:val="1"/>
    <w:qFormat/>
    <w:uiPriority w:val="0"/>
    <w:pPr>
      <w:tabs>
        <w:tab w:val="center" w:pos="4153"/>
        <w:tab w:val="right" w:pos="8306"/>
      </w:tabs>
      <w:snapToGrid w:val="0"/>
      <w:jc w:val="left"/>
    </w:pPr>
    <w:rPr>
      <w:sz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其他省直机关单位</Company>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2021-12-07T08:53:00Z</dcterms:created>
  <dc:creator>罗钰珊</dc:creator>
  <cp:lastModifiedBy>罗钰珊</cp:lastModifiedBy>
  <dcterms:modified xsi:type="dcterms:W3CDTF">2021-12-07T08:54:44Z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