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附件1</w:t>
      </w:r>
    </w:p>
    <w:p>
      <w:pPr>
        <w:ind w:firstLineChars="200" w:firstLine="640"/>
        <w:jc w:val="both"/>
        <w:rPr>
          <w:rFonts w:ascii="新宋体" w:eastAsia="新宋体" w:cs="新宋体"/>
          <w:b/>
          <w:bCs/>
          <w:sz w:val="36"/>
          <w:szCs w:val="36"/>
        </w:rPr>
      </w:pPr>
      <w:r>
        <w:rPr>
          <w:rFonts w:ascii="仿宋_GB2312" w:eastAsia="仿宋_GB2312" w:cs="仿宋_GB2312"/>
          <w:szCs w:val="32"/>
        </w:rPr>
        <w:t xml:space="preserve">             </w:t>
      </w:r>
      <w:r>
        <w:rPr>
          <w:rFonts w:ascii="方正小标宋简体" w:eastAsia="方正小标宋简体" w:cs="方正小标宋简体" w:hint="eastAsia"/>
          <w:sz w:val="36"/>
          <w:szCs w:val="36"/>
        </w:rPr>
        <w:t xml:space="preserve"> 本次检验项目</w:t>
      </w:r>
      <w:r>
        <w:rPr>
          <w:rFonts w:ascii="新宋体" w:eastAsia="新宋体" w:cs="新宋体" w:hint="eastAsia"/>
          <w:b/>
          <w:bCs/>
          <w:sz w:val="36"/>
          <w:szCs w:val="36"/>
        </w:rPr>
        <w:t xml:space="preserve"> 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黑体简体" w:eastAsia="方正黑体简体" w:hint="eastAsia"/>
          <w:b w:val="0"/>
          <w:sz w:val="32"/>
          <w:szCs w:val="32"/>
          <w:lang w:val="en-US" w:eastAsia="zh-CN"/>
        </w:rPr>
      </w:pPr>
      <w:r>
        <w:rPr>
          <w:rFonts w:ascii="方正黑体简体" w:eastAsia="方正黑体简体" w:hint="eastAsia"/>
          <w:b w:val="0"/>
          <w:sz w:val="32"/>
          <w:szCs w:val="32"/>
          <w:lang w:val="en-US" w:eastAsia="zh-CN"/>
        </w:rPr>
        <w:t>一、调味品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cs="仿宋" w:hint="eastAsia"/>
          <w:szCs w:val="32"/>
          <w:lang w:val="en-US" w:eastAsia="zh-CN"/>
        </w:rPr>
        <w:t>（</w:t>
      </w:r>
      <w:r>
        <w:rPr>
          <w:rFonts w:ascii="方正仿宋简体" w:eastAsia="方正仿宋简体" w:hint="eastAsia"/>
          <w:szCs w:val="32"/>
          <w:lang w:val="en-US" w:eastAsia="zh-CN"/>
        </w:rPr>
        <w:t>一）抽检依据</w:t>
      </w:r>
    </w:p>
    <w:p>
      <w:pPr>
        <w:bidi w:val="0"/>
        <w:spacing w:line="560" w:lineRule="exact"/>
        <w:ind w:firstLineChars="250" w:firstLine="80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抽检依据是《食品安全</w:t>
      </w:r>
      <w:bookmarkStart w:id="0" w:name="_GoBack"/>
      <w:bookmarkEnd w:id="0"/>
      <w:r>
        <w:rPr>
          <w:rFonts w:ascii="方正仿宋简体" w:eastAsia="方正仿宋简体" w:hint="eastAsia"/>
          <w:szCs w:val="32"/>
          <w:lang w:val="en-US" w:eastAsia="zh-CN"/>
        </w:rPr>
        <w:t>国家标准 味精》（GB 2720-2015）、《食品安全国家标准 水产调味品》（GB 10133-2014）、《蚝油》GB/T 21999-2008、《食品安全国家标准 食品添加剂使用标准》（GB 2760-2014）、《食品安全国家标准 食品中污染物限量》（GB 2762-2017）等标准及产品明示标准和指标的要求。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  <w:lang w:val="en-US" w:eastAsia="zh-CN"/>
        </w:rPr>
      </w:pPr>
      <w:r>
        <w:rPr>
          <w:rFonts w:ascii="方正仿宋简体" w:eastAsia="方正仿宋简体" w:hint="eastAsia"/>
          <w:szCs w:val="32"/>
          <w:lang w:val="en-US" w:eastAsia="zh-CN"/>
        </w:rPr>
        <w:t>（二）检验项目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hint="eastAsia"/>
          <w:color w:val="auto"/>
          <w:szCs w:val="32"/>
          <w:lang w:eastAsia="zh-CN"/>
        </w:rPr>
      </w:pPr>
      <w:r>
        <w:rPr>
          <w:rFonts w:ascii="方正仿宋简体" w:eastAsia="方正仿宋简体" w:cs="仿宋" w:hint="eastAsia"/>
          <w:color w:val="auto"/>
          <w:szCs w:val="32"/>
          <w:lang w:eastAsia="zh-CN"/>
        </w:rPr>
        <w:t>食醋抽检项目苯甲酸及其钠盐(以苯甲酸计)、标签、不挥发酸(以乳酸计)、对羟基苯甲酸酯类及其钠盐(对羟基苯甲酸甲酯钠，对羟基苯甲酸乙酯及其钠盐)(以对羟基苯甲酸计)、菌落总数、山梨酸及其钾盐(以山梨酸计)、糖精钠(以糖精计)、脱氢乙酸及其钠盐(以脱氢乙酸计)、总酸(以乙酸计)。</w:t>
      </w:r>
    </w:p>
    <w:p>
      <w:pPr>
        <w:spacing w:line="560" w:lineRule="exact"/>
        <w:ind w:firstLineChars="200" w:firstLine="640"/>
        <w:jc w:val="both"/>
        <w:rPr>
          <w:rFonts w:ascii="方正黑体简体" w:eastAsia="方正黑体简体" w:hint="eastAsia"/>
          <w:szCs w:val="32"/>
          <w:lang w:eastAsia="zh-CN"/>
        </w:rPr>
      </w:pPr>
      <w:r>
        <w:rPr>
          <w:rFonts w:ascii="方正黑体简体" w:eastAsia="方正黑体简体" w:hint="eastAsia"/>
          <w:szCs w:val="32"/>
          <w:lang w:eastAsia="zh-CN"/>
        </w:rPr>
        <w:t>二、糕点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仿宋" w:hint="eastAsia"/>
          <w:szCs w:val="32"/>
        </w:rPr>
      </w:pPr>
      <w:r>
        <w:rPr>
          <w:rFonts w:ascii="方正仿宋简体" w:eastAsia="方正仿宋简体" w:cs="仿宋" w:hint="eastAsia"/>
          <w:szCs w:val="32"/>
        </w:rPr>
        <w:t>（一）抽检依据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仿宋" w:hint="eastAsia"/>
          <w:szCs w:val="32"/>
        </w:rPr>
      </w:pPr>
      <w:r>
        <w:rPr>
          <w:rFonts w:ascii="方正仿宋简体" w:eastAsia="方正仿宋简体" w:cs="仿宋" w:hint="eastAsia"/>
          <w:szCs w:val="32"/>
        </w:rPr>
        <w:t>抽检依据GB/T 20981-2007《面包》,GB 7099-2015《食品安全国家标准 糕点、面包》,GB 2760-2014《食品安全国家标准 食品添加剂使用标准》,GB 2762-2017《食品安全国家标准 食品中污染物限量》,GB 29921-2013《食品安全国家标准  食品中致病菌限量》,食品整治办[2009]5号《食品中可能违法添加的非食用物质名单(第二批)》标准要求。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仿宋" w:hint="eastAsia"/>
          <w:szCs w:val="32"/>
        </w:rPr>
      </w:pPr>
      <w:r>
        <w:rPr>
          <w:rFonts w:ascii="方正仿宋简体" w:eastAsia="方正仿宋简体" w:cs="仿宋" w:hint="eastAsia"/>
          <w:szCs w:val="32"/>
        </w:rPr>
        <w:t>（二）检验项目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仿宋_GB2312" w:hint="eastAsia"/>
          <w:szCs w:val="32"/>
        </w:rPr>
      </w:pPr>
      <w:r>
        <w:rPr>
          <w:rFonts w:ascii="方正仿宋简体" w:eastAsia="方正仿宋简体" w:cs="仿宋_GB2312" w:hint="eastAsia"/>
          <w:szCs w:val="32"/>
          <w:lang w:eastAsia="zh-CN"/>
          <w:highlight w:val="auto"/>
        </w:rPr>
        <w:t>糕点</w:t>
      </w:r>
      <w:r>
        <w:rPr>
          <w:rFonts w:ascii="方正仿宋简体" w:eastAsia="方正仿宋简体" w:cs="仿宋_GB2312" w:hint="eastAsia"/>
          <w:szCs w:val="32"/>
          <w:highlight w:val="auto"/>
        </w:rPr>
        <w:t>检验项目包括酸价(以脂肪计)、过氧化值(以脂肪计)、铅(以Pb计)、富马酸二甲酯、苯甲酸及其钠盐(以苯甲酸计)、山梨酸及其钾盐(以山梨酸计)、糖精钠(以糖精计)、甜蜜素(以环己基氨基磺酸计)、铝的残留量(干样品，以Al计)、丙酸及其钠盐、钙盐(以丙酸计)、脱氢乙酸及其钠盐(以脱氢乙酸计)、纳他霉素、三氯蔗糖、防腐剂混合使用时各自用量占其最大使用量的比例之和、菌落总数、大肠菌群、金黄色葡萄球菌、沙门氏菌、霉菌。</w:t>
      </w:r>
    </w:p>
    <w:p>
      <w:pPr>
        <w:pStyle w:val="1"/>
        <w:bidi w:val="0"/>
        <w:spacing w:before="0" w:after="0" w:line="560" w:lineRule="exact"/>
        <w:ind w:firstLineChars="200" w:firstLine="640"/>
        <w:rPr>
          <w:rFonts w:ascii="方正黑体简体" w:eastAsia="方正黑体简体" w:hint="eastAsia"/>
          <w:b w:val="0"/>
          <w:sz w:val="32"/>
          <w:szCs w:val="32"/>
          <w:lang w:val="en-US" w:eastAsia="zh-CN"/>
        </w:rPr>
      </w:pPr>
      <w:r>
        <w:rPr>
          <w:rFonts w:ascii="方正黑体简体" w:eastAsia="方正黑体简体" w:hint="eastAsia"/>
          <w:b w:val="0"/>
          <w:sz w:val="32"/>
          <w:szCs w:val="32"/>
          <w:lang w:eastAsia="zh-CN"/>
        </w:rPr>
        <w:t>三、</w:t>
      </w:r>
      <w:r>
        <w:rPr>
          <w:rFonts w:ascii="方正黑体简体" w:eastAsia="方正黑体简体" w:hint="eastAsia"/>
          <w:b w:val="0"/>
          <w:sz w:val="32"/>
          <w:szCs w:val="32"/>
          <w:lang w:val="en-US" w:eastAsia="zh-CN"/>
        </w:rPr>
        <w:t>餐饮食品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（一）抽检依据</w:t>
      </w:r>
    </w:p>
    <w:p>
      <w:pPr>
        <w:bidi w:val="0"/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抽检依据GB 2760-2014《食品安全国家标准 食品添加剂使用标准》</w:t>
      </w:r>
      <w:r>
        <w:rPr>
          <w:rFonts w:ascii="方正仿宋简体" w:eastAsia="方正仿宋简体" w:hint="eastAsia"/>
          <w:szCs w:val="32"/>
          <w:lang w:eastAsia="zh-CN"/>
        </w:rPr>
        <w:t>、食品整治办[2008]3号《食品中可能违法添加的非食用物质和易滥用的食品添加剂品种名单(第一批)》、GB 2762-2017《食品安全国家标准 食品中污染物限量》、GB 10136-2015《食品安全国家标准 动物性水产制品》</w:t>
      </w:r>
      <w:r>
        <w:rPr>
          <w:rFonts w:ascii="方正仿宋简体" w:eastAsia="方正仿宋简体" w:hint="eastAsia"/>
          <w:szCs w:val="32"/>
          <w:lang w:val="en-US" w:eastAsia="zh-CN"/>
        </w:rPr>
        <w:t>、食品整治办[2009]72 号 关于印发《食品中可能违法添加的非食用物质和易滥用的食品添加剂名单（第三批）》的通知、GB 2761-2017《食品安全国家标准食品中真菌毒素限量》的要求</w:t>
      </w:r>
      <w:r>
        <w:rPr>
          <w:rFonts w:ascii="方正仿宋简体" w:eastAsia="方正仿宋简体" w:hint="eastAsia"/>
          <w:szCs w:val="32"/>
        </w:rPr>
        <w:t>。</w:t>
      </w:r>
    </w:p>
    <w:p>
      <w:pPr>
        <w:bidi w:val="0"/>
        <w:spacing w:line="560" w:lineRule="exact"/>
        <w:ind w:firstLineChars="150" w:firstLine="48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>（二）检验项目</w:t>
      </w:r>
    </w:p>
    <w:p>
      <w:pPr>
        <w:spacing w:line="560" w:lineRule="exact"/>
        <w:ind w:firstLineChars="200" w:firstLine="640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  <w:lang w:val="en-US" w:eastAsia="zh-CN"/>
        </w:rPr>
        <w:t>花生及其制品(自制)</w:t>
      </w:r>
      <w:r>
        <w:rPr>
          <w:rFonts w:ascii="方正仿宋简体" w:eastAsia="方正仿宋简体" w:hint="eastAsia"/>
          <w:szCs w:val="32"/>
        </w:rPr>
        <w:t>检验项目包括黄曲霉毒素B</w:t>
      </w:r>
      <w:r>
        <w:rPr>
          <w:rFonts w:eastAsia="方正仿宋简体" w:hint="eastAsia"/>
          <w:szCs w:val="32"/>
        </w:rPr>
        <w:t>₁</w:t>
      </w:r>
      <w:r>
        <w:rPr>
          <w:rFonts w:ascii="方正仿宋简体" w:eastAsia="方正仿宋简体" w:hint="eastAsia"/>
          <w:szCs w:val="32"/>
          <w:lang w:eastAsia="zh-CN"/>
        </w:rPr>
        <w:t>。</w:t>
      </w:r>
    </w:p>
    <w:p>
      <w:pPr>
        <w:spacing w:line="560" w:lineRule="exact"/>
        <w:ind w:firstLineChars="200" w:firstLine="640"/>
        <w:jc w:val="both"/>
        <w:rPr>
          <w:rFonts w:ascii="方正黑体简体" w:eastAsia="方正黑体简体" w:cs="黑体" w:hint="eastAsia"/>
          <w:szCs w:val="32"/>
          <w:lang w:eastAsia="zh-CN"/>
        </w:rPr>
      </w:pPr>
      <w:r>
        <w:rPr>
          <w:rFonts w:ascii="方正黑体简体" w:eastAsia="方正黑体简体" w:cs="黑体" w:hint="eastAsia"/>
          <w:szCs w:val="32"/>
          <w:lang w:eastAsia="zh-CN"/>
        </w:rPr>
        <w:t>四、食用农产品</w:t>
      </w:r>
    </w:p>
    <w:p>
      <w:pPr>
        <w:spacing w:line="560" w:lineRule="exact"/>
        <w:jc w:val="both"/>
        <w:rPr>
          <w:rFonts w:ascii="方正仿宋简体" w:eastAsia="方正仿宋简体" w:cs="仿宋_GB2312" w:hint="eastAsia"/>
          <w:szCs w:val="32"/>
          <w:lang w:val="en-US" w:eastAsia="zh-CN"/>
        </w:rPr>
      </w:pPr>
      <w:r>
        <w:rPr>
          <w:rFonts w:ascii="方正仿宋简体" w:eastAsia="方正仿宋简体" w:cs="仿宋_GB2312" w:hint="eastAsia"/>
          <w:szCs w:val="32"/>
        </w:rPr>
        <w:t xml:space="preserve">    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方正仿宋简体" w:eastAsia="方正仿宋简体" w:cs="仿宋" w:hint="eastAsia"/>
          <w:szCs w:val="32"/>
          <w:lang w:eastAsia="zh-CN" w:bidi="ar-SA"/>
        </w:rPr>
      </w:pPr>
      <w:r>
        <w:rPr>
          <w:rFonts w:ascii="方正仿宋简体" w:eastAsia="方正仿宋简体" w:cs="仿宋" w:hint="eastAsia"/>
          <w:szCs w:val="32"/>
          <w:lang w:val="en-US" w:eastAsia="zh-CN" w:bidi="ar-SA"/>
        </w:rPr>
        <w:t>抽检依据农业农村部公告第250号 《食品动物中禁止使用的药品及其他化合物清单》、《食品安全国家标准 食品中兽药最大残留限量》（GB31650-2019）、整顿办函（2010）50号</w:t>
      </w:r>
      <w:r>
        <w:rPr>
          <w:rFonts w:ascii="方正仿宋简体" w:eastAsia="方正仿宋简体" w:cs="仿宋" w:hint="eastAsia"/>
          <w:szCs w:val="32"/>
          <w:lang w:eastAsia="zh-CN" w:bidi="ar-SA"/>
        </w:rPr>
        <w:t>《食品中可能违法添加的非食用物质和易滥用的食品添加剂品种名单(第四批)》</w:t>
      </w:r>
      <w:r>
        <w:rPr>
          <w:rFonts w:ascii="方正仿宋简体" w:eastAsia="方正仿宋简体" w:cs="仿宋" w:hint="eastAsia"/>
          <w:szCs w:val="32"/>
          <w:lang w:val="en-US" w:eastAsia="zh-CN" w:bidi="ar-SA"/>
        </w:rPr>
        <w:t>、农业部公告第560号《兽药地方标准废止目录》、《食</w:t>
      </w:r>
      <w:r>
        <w:rPr>
          <w:rFonts w:ascii="方正仿宋简体" w:eastAsia="方正仿宋简体" w:cs="仿宋" w:hint="eastAsia"/>
          <w:szCs w:val="32"/>
          <w:lang w:eastAsia="zh-CN" w:bidi="ar-SA"/>
        </w:rPr>
        <w:t>品安全国家标准鲜、冻动物性水产品</w:t>
      </w:r>
      <w:r>
        <w:rPr>
          <w:rFonts w:ascii="方正仿宋简体" w:eastAsia="方正仿宋简体" w:cs="仿宋" w:hint="eastAsia"/>
          <w:szCs w:val="32"/>
          <w:lang w:val="en-US" w:eastAsia="zh-CN" w:bidi="ar-SA"/>
        </w:rPr>
        <w:t>》（GB2733-2015）、</w:t>
      </w:r>
      <w:r>
        <w:rPr>
          <w:rFonts w:ascii="方正仿宋简体" w:eastAsia="方正仿宋简体" w:cs="仿宋" w:hint="eastAsia"/>
          <w:szCs w:val="32"/>
          <w:lang w:eastAsia="zh-CN" w:bidi="ar-SA"/>
        </w:rPr>
        <w:t>《食品安全国家标准 食品中农药最大残留限量》（</w:t>
      </w:r>
      <w:r>
        <w:rPr>
          <w:rFonts w:ascii="方正仿宋简体" w:eastAsia="方正仿宋简体" w:cs="仿宋" w:hint="eastAsia"/>
          <w:szCs w:val="32"/>
          <w:lang w:bidi="ar-SA"/>
        </w:rPr>
        <w:t>GB 2763-2019）</w:t>
      </w:r>
      <w:r>
        <w:rPr>
          <w:rFonts w:ascii="方正仿宋简体" w:eastAsia="方正仿宋简体" w:cs="仿宋" w:hint="eastAsia"/>
          <w:szCs w:val="32"/>
          <w:lang w:eastAsia="zh-CN" w:bidi="ar-SA"/>
        </w:rPr>
        <w:t>、《食品安全国家标准 食品中农药最大残留限量》（</w:t>
      </w:r>
      <w:r>
        <w:rPr>
          <w:rFonts w:ascii="方正仿宋简体" w:eastAsia="方正仿宋简体" w:cs="仿宋" w:hint="eastAsia"/>
          <w:szCs w:val="32"/>
          <w:lang w:bidi="ar-SA"/>
        </w:rPr>
        <w:t>GB 2763-20</w:t>
      </w:r>
      <w:r>
        <w:rPr>
          <w:rFonts w:ascii="方正仿宋简体" w:eastAsia="方正仿宋简体" w:cs="仿宋" w:hint="eastAsia"/>
          <w:szCs w:val="32"/>
          <w:lang w:val="en-US" w:eastAsia="zh-CN" w:bidi="ar-SA"/>
        </w:rPr>
        <w:t>21</w:t>
      </w:r>
      <w:r>
        <w:rPr>
          <w:rFonts w:ascii="方正仿宋简体" w:eastAsia="方正仿宋简体" w:cs="仿宋" w:hint="eastAsia"/>
          <w:szCs w:val="32"/>
          <w:lang w:bidi="ar-SA"/>
        </w:rPr>
        <w:t>）</w:t>
      </w:r>
      <w:r>
        <w:rPr>
          <w:rFonts w:ascii="方正仿宋简体" w:eastAsia="方正仿宋简体" w:cs="仿宋" w:hint="eastAsia"/>
          <w:szCs w:val="32"/>
          <w:lang w:eastAsia="zh-CN" w:bidi="ar-SA"/>
        </w:rPr>
        <w:t>、《食品安全国家标准 食品中污染物限量》（GB 2762-2017）、</w:t>
      </w:r>
      <w:r>
        <w:rPr>
          <w:rFonts w:ascii="方正仿宋简体" w:eastAsia="方正仿宋简体" w:cs="仿宋" w:hint="eastAsia"/>
          <w:szCs w:val="32"/>
          <w:lang w:bidi="ar-SA"/>
        </w:rPr>
        <w:t>国家食品药品监督管理总局农业部国家卫生和计划生育委员</w:t>
      </w:r>
      <w:r>
        <w:rPr>
          <w:rFonts w:ascii="方正仿宋简体" w:eastAsia="方正仿宋简体" w:cs="仿宋" w:hint="eastAsia"/>
          <w:szCs w:val="32"/>
          <w:lang w:eastAsia="zh-CN" w:bidi="ar-SA"/>
        </w:rPr>
        <w:t>会关于豆芽生产过程中禁止使用</w:t>
      </w:r>
      <w:r>
        <w:rPr>
          <w:rFonts w:ascii="方正仿宋简体" w:eastAsia="方正仿宋简体" w:cs="仿宋" w:hint="eastAsia"/>
          <w:szCs w:val="32"/>
          <w:lang w:val="en-US" w:eastAsia="zh-CN" w:bidi="ar-SA"/>
        </w:rPr>
        <w:t>6-苄基腺嘌呤等物质的公告（2015年第11号）及</w:t>
      </w:r>
      <w:r>
        <w:rPr>
          <w:rFonts w:ascii="方正仿宋简体" w:eastAsia="方正仿宋简体" w:cs="仿宋" w:hint="eastAsia"/>
          <w:szCs w:val="32"/>
          <w:lang w:eastAsia="zh-CN" w:bidi="ar-SA"/>
        </w:rPr>
        <w:t>产品明示标准等标准要求。</w:t>
      </w:r>
    </w:p>
    <w:p>
      <w:pPr>
        <w:numPr>
          <w:ilvl w:val="0"/>
          <w:numId w:val="1"/>
        </w:numPr>
        <w:spacing w:line="560" w:lineRule="exact"/>
        <w:ind w:leftChars="200" w:left="960" w:hangingChars="100" w:hanging="320"/>
        <w:jc w:val="left"/>
        <w:rPr>
          <w:rFonts w:ascii="方正仿宋简体" w:eastAsia="方正仿宋简体" w:cs="仿宋_GB2312" w:hint="eastAsia"/>
          <w:szCs w:val="32"/>
          <w:lang w:eastAsia="zh-CN"/>
        </w:rPr>
      </w:pPr>
      <w:r>
        <w:rPr>
          <w:rFonts w:ascii="方正仿宋简体" w:eastAsia="方正仿宋简体" w:cs="仿宋_GB2312" w:hint="eastAsia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方正仿宋简体" w:eastAsia="方正仿宋简体" w:cs="仿宋" w:hint="eastAsia"/>
          <w:color w:val="000000"/>
          <w:szCs w:val="32"/>
          <w:lang w:val="en-US" w:eastAsia="zh-CN" w:bidi="ar-SA"/>
        </w:rPr>
      </w:pPr>
      <w:r>
        <w:rPr>
          <w:rFonts w:ascii="方正仿宋简体" w:eastAsia="方正仿宋简体" w:cs="仿宋" w:hint="eastAsia"/>
          <w:color w:val="000000"/>
          <w:szCs w:val="32"/>
          <w:lang w:val="en-US" w:eastAsia="zh-CN" w:bidi="ar-SA"/>
        </w:rPr>
        <w:t>豆芽检验项目包括铅（以Pb计）、4-氯苯氧乙酸钠、6-苄基腺嘌呤。</w:t>
      </w:r>
    </w:p>
    <w:p>
      <w:pPr>
        <w:pStyle w:val="15"/>
        <w:spacing w:after="0" w:line="560" w:lineRule="exact"/>
        <w:rPr>
          <w:rFonts w:ascii="方正仿宋简体" w:eastAsia="方正仿宋简体" w:hint="eastAsia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variable"/>
    <w:sig w:usb0="00000283" w:usb1="288F0000" w:usb2="00000006" w:usb3="00000000" w:csb0="00040001" w:csb1="00000000"/>
  </w:font>
  <w:font w:name="方正黑体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36BBDAC"/>
    <w:multiLevelType w:val="singleLevel"/>
    <w:tmpl w:val="236BBDAC"/>
    <w:lvl w:ilvl="0">
      <w:start w:val="2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rPr>
      <w:rFonts w:ascii="Times New Roman" w:eastAsia="仿宋" w:cs="Times New Roman" w:hAnsi="Times New Roman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beforeAutospacing="0" w:after="330" w:afterAutospacing="0" w:line="240" w:lineRule="auto"/>
      <w:jc w:val="left"/>
      <w:outlineLvl w:val="0"/>
    </w:pPr>
    <w:rPr>
      <w:rFonts w:ascii="Times New Roman" w:eastAsia="仿宋" w:cs="Times New Roman" w:hAnsi="Times New Roman"/>
      <w:b/>
      <w:kern w:val="44"/>
      <w:sz w:val="36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FollowedHyperlink"/>
    <w:basedOn w:val="10"/>
    <w:rPr>
      <w:color w:val="1E90FF"/>
      <w:u w:val="none"/>
    </w:rPr>
  </w:style>
  <w:style w:type="character" w:styleId="19">
    <w:name w:val="Emphasis"/>
    <w:basedOn w:val="10"/>
    <w:rPr>
      <w:i/>
      <w:iCs/>
    </w:rPr>
  </w:style>
  <w:style w:type="character" w:styleId="20">
    <w:name w:val="Hyperlink"/>
    <w:basedOn w:val="10"/>
    <w:rPr>
      <w:color w:val="1E90FF"/>
      <w:u w:val="none"/>
    </w:rPr>
  </w:style>
  <w:style w:type="paragraph" w:styleId="21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148</TotalTime>
  <Application>Yozo_Office27021597764231179</Application>
  <Pages>3</Pages>
  <Words>1205</Words>
  <Characters>1430</Characters>
  <Lines>64</Lines>
  <Paragraphs>22</Paragraphs>
  <CharactersWithSpaces>1485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论大厅的重要性</dc:creator>
  <cp:lastModifiedBy>uos</cp:lastModifiedBy>
  <cp:revision>126</cp:revision>
  <dcterms:created xsi:type="dcterms:W3CDTF">2019-04-18T01:12:00Z</dcterms:created>
  <dcterms:modified xsi:type="dcterms:W3CDTF">2021-12-02T12:55:39Z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2052-11.1.0.10938</vt:lpwstr>
  </property>
  <property fmtid="{D5CDD505-2E9C-101B-9397-08002B2CF9AE}" pid="3" name="ICV">
    <vt:lpwstr>E431D850B1974BCB83DDE810910D3D29</vt:lpwstr>
  </property>
</Properties>
</file>