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590" w:lineRule="exact"/>
        <w:rPr>
          <w:rFonts w:hint="eastAsia" w:ascii="Times New Roman" w:hAnsi="Times New Roman" w:eastAsia="黑体" w:cs="黑体"/>
          <w:color w:val="00000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color w:val="000000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黑体"/>
          <w:color w:val="000000"/>
          <w:highlight w:val="none"/>
          <w:lang w:val="en-US" w:eastAsia="zh-CN"/>
        </w:rPr>
        <w:t>1</w:t>
      </w:r>
    </w:p>
    <w:p>
      <w:pPr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本次抽检依据和检验项目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罐头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抽检依据是《食品安全国家标准 食品添加剂使用标准》（GB 2760-2014）、《食品安全国家标准 食品中污染物限量》（GB 2762-2017）、《食品安全国家标准 罐头食品》（GB 7098-2015）等标准及产品明示标准和指标的要求。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/>
          <w:color w:val="000000"/>
          <w:sz w:val="32"/>
          <w:szCs w:val="32"/>
          <w:lang w:val="en-US" w:eastAsia="zh-CN"/>
        </w:rPr>
        <w:t>畜禽肉类罐头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抽检项目包括铅（以Pb计）、镉（以Cd计）、铬（以Cr计）、苯甲酸及其钠盐（以苯甲酸计）、山梨酸及其钾盐（以山梨酸计）、糖精钠（以糖精计）、商业无菌、亚硝酸盐（以亚硝酸钠计）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.水产动物类罐头抽检项目包括组胺（仅适用于鲐鱼、鲹鱼、沙丁鱼罐头）、无机砷（以As计）、镉（以Cd计）（仅限鱼类罐头）、甲基汞、脱氢乙酸及其钠盐（以脱氢乙酸计）、苯甲酸及其钠盐（以苯甲酸计）、山梨酸及其钾盐（以山梨酸计）、糖精钠（以糖精计）、商业无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.其他罐头抽检项目包括脱氢乙酸及其钠盐（以脱氢乙酸计）、苯甲酸及其钠盐（以苯甲酸计）、山梨酸及其钾盐（以山梨酸计）、糖精钠（以糖精计）、乙二胺四乙酸二钠（限坚果与籽类罐头和八宝粥罐头检测）、商业无菌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水果类罐头抽检项目包括合成着色剂（柠檬黄、日落黄、苋菜红、胭脂红、赤藓红、亮蓝、靛蓝、诱惑红）、脱氢乙酸及其钠盐（以脱氢乙酸计）、苯甲酸及其钠盐（以苯甲酸计）、山梨酸及其钾盐（以山梨酸计）、糖精钠（以糖精计）、甜蜜素（以环己基氨基磺酸计）、阿斯巴甜、商业无菌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食用菌罐头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抽检项目包括脱氢乙酸及其钠盐（以脱氢乙酸计）、苯甲酸及其钠盐（以苯甲酸计）、山梨酸及其钾盐（以山梨酸计）、乙二胺四乙酸二钠、商业无菌二氧化硫残留量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。</w:t>
      </w: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  <w:highlight w:val="none"/>
          <w:lang w:eastAsia="zh-CN"/>
        </w:rPr>
        <w:t>炒货食品及坚果制品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坚果与籽类食品》（GB 19300-2014）等标准及产品明示标准和指标的要求。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/>
          <w:color w:val="000000"/>
          <w:sz w:val="32"/>
          <w:szCs w:val="32"/>
          <w:vertAlign w:val="subscript"/>
        </w:rPr>
        <w:t>1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、糖精钠（以糖精计）、甜蜜素（以环己基氨基磺酸计）、大肠菌群、霉菌。</w:t>
      </w: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淀粉及淀粉制品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抽检依据是《食品安全国家标准 食品添加剂使用标准》（GB 2760-2014）、《食品安全国家标准 食用淀粉》（GB 31637-2016）标准及产品明示标准和质量要求。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1.淀粉抽检项目包括铅、菌落总数、大肠菌群、霉菌和酵母。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2.粉丝粉条等抽检项目包括铅、铝的残留量、二氧化硫残留量。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3.其他淀粉制品抽检项目包括铝的残留量。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4.淀粉糖抽检项目包括铅。</w:t>
      </w: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糕点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抽检依据是《食品安全国家标准 食品添加剂使用标准》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GB 2760-2014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、《食品安全国家标准 食品中致病菌限量》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GB 29921-2013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、《食品安全国家标准 糕点、面包》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GB 7099-2015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等标准及产品明示标准和指标的要求。</w:t>
      </w:r>
    </w:p>
    <w:p>
      <w:pPr>
        <w:spacing w:line="600" w:lineRule="exact"/>
        <w:ind w:left="64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糕点抽检项目包括大肠菌群、金黄色葡萄球菌、菌落总数、铝的残留量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干样品，以Al计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、霉菌、三氯蔗糖、沙门氏菌、脱氢乙酸及其钠盐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以脱氢乙酸计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。</w:t>
      </w:r>
    </w:p>
    <w:p>
      <w:pPr>
        <w:pStyle w:val="7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食用农产品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（一）抽检依据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抽检依据是《食品安全国家标准 食品中兽药最大残留限量》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GB 31650-2019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1.贝类抽检项目包括恩诺沙星、呋喃它酮代谢物、呋喃妥因代谢物、呋喃西林代谢物、呋喃唑酮代谢物、孔雀石绿、氯霉素、五氯酚酸钠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以五氯酚计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、氧氟沙星。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2.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淡水虾抽检项目包括恩诺沙星、呋喃它酮代谢物、呋喃妥因代谢物、呋喃西林代谢物、呋喃唑酮代谢物、孔雀石绿、氯霉素。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3.淡水蟹抽检项目包括恩诺沙星、呋喃它酮代谢物、呋喃妥因代谢物、呋喃西林代谢物、呋喃唑酮代谢物、孔雀石绿、氯霉素、氧氟沙星。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4.淡水鱼抽检项目包括恩诺沙星、呋喃它酮代谢物、呋喃妥因代谢物、呋喃西林代谢物、呋喃唑酮代谢物、孔雀石绿、氯霉素、氧氟沙星。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5.海水虾抽检项目包括恩诺沙星、呋喃它酮代谢物、呋喃妥因代谢物、呋喃西林代谢物、呋喃唑酮代谢物、孔雀石绿、氯霉素、氧氟沙星。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6.海水蟹抽检项目包括恩诺沙星、呋喃它酮代谢物、呋喃妥因代谢物、呋喃西林代谢物、呋喃唑酮代谢物、孔雀石绿、氯霉素、氧氟沙星。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7.海水鱼抽检项目包括恩诺沙星、呋喃它酮代谢物、呋喃妥因代谢物、呋喃西林代谢物、呋喃唑酮代谢物、孔雀石绿、氯霉素、氧氟沙星。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B40EF"/>
    <w:multiLevelType w:val="multilevel"/>
    <w:tmpl w:val="29AB40EF"/>
    <w:lvl w:ilvl="0" w:tentative="0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D23BD"/>
    <w:rsid w:val="515D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2021-12-02T07:56:00Z</dcterms:created>
  <dc:creator>罗钰珊</dc:creator>
  <cp:lastModifiedBy>罗钰珊</cp:lastModifiedBy>
  <dcterms:modified xsi:type="dcterms:W3CDTF">2021-12-02T07:57:24Z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