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附件1</w:t>
      </w:r>
    </w:p>
    <w:p>
      <w:pPr>
        <w:ind w:firstLineChars="300" w:firstLine="960"/>
        <w:rPr>
          <w:rFonts w:ascii="新宋体" w:eastAsia="新宋体" w:cs="新宋体"/>
          <w:b/>
          <w:bCs/>
          <w:sz w:val="36"/>
          <w:szCs w:val="36"/>
        </w:rPr>
      </w:pPr>
      <w:r>
        <w:rPr>
          <w:rFonts w:ascii="仿宋_GB2312" w:eastAsia="仿宋_GB2312" w:cs="仿宋_GB2312"/>
          <w:szCs w:val="32"/>
        </w:rPr>
        <w:t xml:space="preserve">             </w:t>
      </w:r>
      <w:r>
        <w:rPr>
          <w:rFonts w:ascii="方正小标宋简体" w:eastAsia="方正小标宋简体" w:cs="方正小标宋简体" w:hint="eastAsia"/>
          <w:sz w:val="36"/>
          <w:szCs w:val="36"/>
        </w:rPr>
        <w:t xml:space="preserve"> 本次检验项目</w:t>
      </w:r>
      <w:r>
        <w:rPr>
          <w:rFonts w:ascii="新宋体" w:eastAsia="新宋体" w:cs="新宋体" w:hint="eastAsia"/>
          <w:b/>
          <w:bCs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int="eastAsia"/>
          <w:sz w:val="32"/>
          <w:szCs w:val="32"/>
          <w:lang w:val="en-US" w:eastAsia="zh-CN" w:bidi="ar-SA"/>
        </w:rPr>
      </w:pPr>
      <w:r>
        <w:rPr>
          <w:rFonts w:ascii="方正黑体简体" w:eastAsia="方正黑体简体" w:hint="eastAsia"/>
          <w:szCs w:val="32"/>
          <w:lang w:eastAsia="zh-CN"/>
        </w:rPr>
        <w:t>一、</w:t>
      </w:r>
      <w:r>
        <w:rPr>
          <w:rFonts w:ascii="黑体" w:eastAsia="黑体" w:cs="黑体" w:hint="eastAsia"/>
          <w:sz w:val="32"/>
          <w:szCs w:val="32"/>
          <w:lang w:val="en-US" w:eastAsia="zh-CN" w:bidi="ar-SA"/>
        </w:rPr>
        <w:t>餐饮食品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Chars="150" w:firstLine="480"/>
        <w:jc w:val="left"/>
        <w:textAlignment w:val="auto"/>
        <w:outlineLvl w:val="9"/>
        <w:rPr>
          <w:rFonts w:ascii="楷体" w:eastAsia="楷体" w:cs="楷体" w:hint="eastAsia"/>
          <w:sz w:val="32"/>
          <w:szCs w:val="32"/>
          <w:lang w:eastAsia="zh-CN" w:bidi="ar-SA"/>
        </w:rPr>
      </w:pPr>
      <w:r>
        <w:rPr>
          <w:rFonts w:ascii="楷体" w:eastAsia="楷体" w:cs="楷体" w:hint="eastAsia"/>
          <w:sz w:val="32"/>
          <w:szCs w:val="32"/>
          <w:lang w:eastAsia="zh-CN" w:bidi="ar-SA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Chars="200" w:firstLine="640"/>
        <w:jc w:val="both"/>
        <w:textAlignment w:val="auto"/>
        <w:outlineLvl w:val="9"/>
        <w:rPr>
          <w:rFonts w:ascii="仿宋" w:eastAsia="仿宋" w:cs="仿宋" w:hint="eastAsia"/>
          <w:sz w:val="32"/>
          <w:szCs w:val="32"/>
          <w:lang w:eastAsia="zh-CN" w:bidi="ar-SA"/>
        </w:rPr>
      </w:pPr>
      <w:r>
        <w:rPr>
          <w:rFonts w:ascii="仿宋" w:eastAsia="仿宋" w:cs="仿宋" w:hint="eastAsia"/>
          <w:sz w:val="32"/>
          <w:szCs w:val="32"/>
          <w:lang w:eastAsia="zh-CN" w:bidi="ar-SA"/>
        </w:rPr>
        <w:t>抽检依据</w:t>
      </w:r>
      <w:r>
        <w:rPr>
          <w:rFonts w:ascii="仿宋" w:cs="仿宋" w:hint="eastAsia"/>
          <w:sz w:val="32"/>
          <w:szCs w:val="32"/>
          <w:lang w:val="en-US" w:eastAsia="zh-CN" w:bidi="ar-SA"/>
        </w:rPr>
        <w:t>《</w:t>
      </w:r>
      <w:r>
        <w:rPr>
          <w:rFonts w:ascii="仿宋" w:eastAsia="仿宋" w:cs="仿宋" w:hint="eastAsia"/>
          <w:sz w:val="32"/>
          <w:szCs w:val="32"/>
          <w:lang w:bidi="ar-SA"/>
        </w:rPr>
        <w:t>食品安全国家标准 消毒餐（饮）具</w:t>
      </w:r>
      <w:r>
        <w:rPr>
          <w:rFonts w:ascii="Verdana" w:eastAsia="宋体" w:cs="Verdana" w:hAnsi="Verdana" w:hint="eastAsia"/>
          <w:color w:val="333333"/>
          <w:spacing w:val="0"/>
          <w:sz w:val="30"/>
          <w:szCs w:val="30"/>
          <w:shd w:val="clear" w:color="auto" w:fill="FFFFFF"/>
          <w:lang w:eastAsia="zh-CN" w:bidi="ar-SA"/>
        </w:rPr>
        <w:t>》</w:t>
      </w:r>
      <w:r>
        <w:rPr>
          <w:rFonts w:ascii="仿宋" w:eastAsia="仿宋" w:cs="仿宋" w:hint="eastAsia"/>
          <w:sz w:val="32"/>
          <w:szCs w:val="32"/>
          <w:lang w:eastAsia="zh-CN" w:bidi="ar-SA"/>
        </w:rPr>
        <w:t xml:space="preserve">（GB </w:t>
      </w:r>
      <w:r>
        <w:rPr>
          <w:rFonts w:ascii="仿宋" w:cs="仿宋" w:hint="eastAsia"/>
          <w:sz w:val="32"/>
          <w:szCs w:val="32"/>
          <w:lang w:val="en-US" w:eastAsia="zh-CN" w:bidi="ar-SA"/>
        </w:rPr>
        <w:t>14934</w:t>
      </w:r>
      <w:r>
        <w:rPr>
          <w:rFonts w:ascii="仿宋" w:eastAsia="仿宋" w:cs="仿宋" w:hint="eastAsia"/>
          <w:sz w:val="32"/>
          <w:szCs w:val="32"/>
          <w:lang w:eastAsia="zh-CN" w:bidi="ar-SA"/>
        </w:rPr>
        <w:t>-201</w:t>
      </w:r>
      <w:r>
        <w:rPr>
          <w:rFonts w:ascii="仿宋" w:cs="仿宋" w:hint="eastAsia"/>
          <w:sz w:val="32"/>
          <w:szCs w:val="32"/>
          <w:lang w:val="en-US" w:eastAsia="zh-CN" w:bidi="ar-SA"/>
        </w:rPr>
        <w:t>6</w:t>
      </w:r>
      <w:r>
        <w:rPr>
          <w:rFonts w:ascii="仿宋" w:eastAsia="仿宋" w:cs="仿宋" w:hint="eastAsia"/>
          <w:sz w:val="32"/>
          <w:szCs w:val="32"/>
          <w:lang w:eastAsia="zh-CN" w:bidi="ar-SA"/>
        </w:rPr>
        <w:t>）、</w:t>
      </w:r>
      <w:r>
        <w:rPr>
          <w:rFonts w:ascii="仿宋" w:eastAsia="仿宋" w:cs="仿宋" w:hint="eastAsia"/>
          <w:sz w:val="32"/>
          <w:szCs w:val="32"/>
          <w:lang w:val="en-US" w:eastAsia="zh-CN" w:bidi="ar-SA"/>
        </w:rPr>
        <w:t>《食品安全国家标准 食品添加剂使用标准》（GB 2760-2014）</w:t>
      </w:r>
      <w:r>
        <w:rPr>
          <w:rFonts w:ascii="仿宋" w:eastAsia="仿宋" w:cs="仿宋" w:hint="eastAsia"/>
          <w:sz w:val="32"/>
          <w:szCs w:val="32"/>
          <w:lang w:eastAsia="zh-CN" w:bidi="ar-SA"/>
        </w:rPr>
        <w:t>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Chars="200" w:firstLine="640"/>
        <w:jc w:val="left"/>
        <w:textAlignment w:val="auto"/>
        <w:outlineLvl w:val="9"/>
        <w:rPr>
          <w:rFonts w:ascii="楷体" w:eastAsia="楷体" w:cs="楷体" w:hint="eastAsia"/>
          <w:sz w:val="32"/>
          <w:szCs w:val="32"/>
          <w:lang w:eastAsia="zh-CN" w:bidi="ar-SA"/>
        </w:rPr>
      </w:pPr>
      <w:r>
        <w:rPr>
          <w:rFonts w:ascii="楷体" w:eastAsia="楷体" w:cs="楷体" w:hint="eastAsia"/>
          <w:sz w:val="32"/>
          <w:szCs w:val="32"/>
          <w:lang w:eastAsia="zh-CN" w:bidi="ar-SA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Chars="200" w:firstLine="640"/>
        <w:jc w:val="both"/>
        <w:textAlignment w:val="auto"/>
        <w:outlineLvl w:val="9"/>
        <w:rPr>
          <w:rFonts w:ascii="仿宋" w:eastAsia="仿宋" w:cs="仿宋" w:hint="eastAsia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z w:val="32"/>
          <w:szCs w:val="32"/>
          <w:lang w:val="en-US" w:eastAsia="zh-CN" w:bidi="ar-SA"/>
        </w:rPr>
        <w:t>复用餐饮具检验项目包括阴离子合成洗涤剂（以十二烷基苯磺酸钠计）、大肠菌群。</w:t>
      </w:r>
    </w:p>
    <w:p>
      <w:pPr>
        <w:spacing w:line="560" w:lineRule="exact"/>
        <w:ind w:firstLineChars="250" w:firstLine="800"/>
        <w:jc w:val="both"/>
        <w:rPr>
          <w:rFonts w:ascii="方正黑体简体" w:eastAsia="方正黑体简体" w:cs="黑体" w:hint="eastAsia"/>
          <w:color w:val="auto"/>
          <w:sz w:val="32"/>
          <w:szCs w:val="32"/>
          <w:lang w:eastAsia="zh-CN"/>
          <w:highlight w:val="auto"/>
        </w:rPr>
      </w:pPr>
      <w:r>
        <w:rPr>
          <w:rFonts w:ascii="方正黑体简体" w:eastAsia="方正黑体简体" w:cs="黑体"/>
          <w:color w:val="auto"/>
          <w:sz w:val="32"/>
          <w:szCs w:val="32"/>
          <w:lang w:val="en-US" w:eastAsia="zh-CN"/>
          <w:highlight w:val="auto"/>
        </w:rPr>
        <w:t>二</w:t>
      </w:r>
      <w:bookmarkStart w:id="0" w:name="_GoBack"/>
      <w:bookmarkEnd w:id="0"/>
      <w:r>
        <w:rPr>
          <w:rFonts w:ascii="方正黑体简体" w:eastAsia="方正黑体简体" w:cs="黑体" w:hint="eastAsia"/>
          <w:color w:val="auto"/>
          <w:sz w:val="32"/>
          <w:szCs w:val="32"/>
          <w:lang w:val="en-US" w:eastAsia="zh-CN"/>
          <w:highlight w:val="auto"/>
        </w:rPr>
        <w:t>、调味品</w:t>
      </w:r>
    </w:p>
    <w:p>
      <w:pPr>
        <w:spacing w:line="560" w:lineRule="exact"/>
        <w:ind w:firstLineChars="200" w:firstLine="640"/>
        <w:jc w:val="both"/>
        <w:rPr>
          <w:rFonts w:ascii="方正楷体简体" w:eastAsia="方正楷体简体" w:cs="仿宋_GB2312" w:hint="eastAsia"/>
          <w:color w:val="auto"/>
          <w:sz w:val="32"/>
          <w:szCs w:val="32"/>
          <w:highlight w:val="auto"/>
        </w:rPr>
      </w:pPr>
      <w:r>
        <w:rPr>
          <w:rFonts w:ascii="方正楷体简体" w:eastAsia="方正楷体简体" w:cs="仿宋_GB2312" w:hint="eastAsia"/>
          <w:color w:val="auto"/>
          <w:sz w:val="32"/>
          <w:szCs w:val="32"/>
          <w:highlight w:val="auto"/>
        </w:rPr>
        <w:t>（一）抽检依据</w:t>
      </w:r>
    </w:p>
    <w:p>
      <w:pPr>
        <w:spacing w:line="560" w:lineRule="exact"/>
        <w:ind w:firstLineChars="200" w:firstLine="640"/>
        <w:jc w:val="both"/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</w:pP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26878-2011《食品安全国家标准 食用盐碘含量》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2717-2018《食品安全国家标准 酱油》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2719-2018《食品安全国家标准 食醋》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2721-2015《食品安全国家标准 食用盐》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2760-2014《食品安全国家标准 食品添加剂使用标准》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2762-2017《食品安全国家标准 食品中污染物限量》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7718-2011《食品安全国家标准 预包装食品标签通则》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7718-2011《食品安全国家标准 预包装食品标签通则》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28050-2011《食品安全国家标准 预包装食品营养标签通则》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2719-2003《食醋卫生标准》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7718-2011《食品安全国家标准 预包装食品标签通则》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28050-2011《食品安全国家标准 预包装食品营养标签通则》等相关标准及法律法规规定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7718-2011《食品安全国家标准 预包装食品标签通则》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 28050-2011《食品安全国家标准 预包装食品营养标签通则》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GB/T 18186-2000《酿造酱油》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，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GB/T 18187-2000《酿造食醋》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及</w:t>
      </w:r>
      <w:r>
        <w:rPr>
          <w:rFonts w:ascii="方正仿宋简体" w:eastAsia="方正仿宋简体" w:cs="仿宋_GB2312" w:hint="eastAsia"/>
          <w:color w:val="auto"/>
          <w:sz w:val="32"/>
          <w:szCs w:val="32"/>
          <w:highlight w:val="auto"/>
        </w:rPr>
        <w:t>产品明示标准</w:t>
      </w:r>
      <w:r>
        <w:rPr>
          <w:rFonts w:ascii="方正仿宋简体" w:eastAsia="方正仿宋简体" w:cs="仿宋_GB2312" w:hint="eastAsia"/>
          <w:color w:val="auto"/>
          <w:sz w:val="32"/>
          <w:szCs w:val="32"/>
          <w:lang w:eastAsia="zh-CN"/>
          <w:highlight w:val="auto"/>
        </w:rPr>
        <w:t>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方正楷体简体" w:eastAsia="方正楷体简体" w:cs="仿宋_GB2312" w:hint="eastAsia"/>
          <w:color w:val="auto"/>
          <w:sz w:val="32"/>
          <w:szCs w:val="32"/>
          <w:lang w:eastAsia="zh-CN"/>
          <w:highlight w:val="auto"/>
        </w:rPr>
      </w:pPr>
      <w:r>
        <w:rPr>
          <w:rFonts w:ascii="方正楷体简体" w:eastAsia="方正楷体简体" w:cs="仿宋_GB2312" w:hint="eastAsia"/>
          <w:color w:val="auto"/>
          <w:sz w:val="32"/>
          <w:szCs w:val="32"/>
          <w:highlight w:val="auto"/>
        </w:rPr>
        <w:t>（二）检验项</w:t>
      </w:r>
      <w:r>
        <w:rPr>
          <w:rFonts w:ascii="方正楷体简体" w:eastAsia="方正楷体简体" w:cs="仿宋_GB2312" w:hint="eastAsia"/>
          <w:color w:val="auto"/>
          <w:sz w:val="32"/>
          <w:szCs w:val="32"/>
          <w:lang w:eastAsia="zh-CN"/>
          <w:highlight w:val="auto"/>
        </w:rPr>
        <w:t>目</w:t>
      </w:r>
    </w:p>
    <w:p>
      <w:pPr>
        <w:spacing w:line="560" w:lineRule="exact"/>
        <w:ind w:left="0" w:firstLineChars="200" w:firstLine="640"/>
        <w:jc w:val="both"/>
        <w:rPr>
          <w:rFonts w:ascii="方正仿宋简体" w:eastAsia="方正仿宋简体" w:cs="仿宋_GB2312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方正仿宋简体" w:eastAsia="方正仿宋简体" w:cs="仿宋_GB2312" w:hint="eastAsia"/>
          <w:color w:val="auto"/>
          <w:sz w:val="32"/>
          <w:szCs w:val="32"/>
          <w:lang w:val="en-US" w:eastAsia="zh-CN"/>
          <w:highlight w:val="auto"/>
        </w:rPr>
        <w:t>1.食醋检验项目包括苯甲酸及其钠盐(以苯甲酸计)、标签、不挥发酸(以乳酸计)、对羟基苯甲酸酯类及其钠盐(对羟基苯甲酸甲酯钠，对羟基苯甲酸乙酯及其钠盐)(以对羟基苯甲酸计)、对羟基苯甲酸酯类及其钠盐(以对羟基苯甲酸计)、菌落总数、山梨酸及其钾盐(以山梨酸计)、糖精钠(以糖精计)、脱氢乙酸及其钠盐(以脱氢乙酸计)、总酸（以乙酸计）。</w:t>
      </w:r>
    </w:p>
    <w:p>
      <w:pPr>
        <w:spacing w:line="560" w:lineRule="exact"/>
        <w:ind w:left="0" w:firstLineChars="200" w:firstLine="640"/>
        <w:jc w:val="both"/>
        <w:rPr>
          <w:rFonts w:ascii="方正仿宋简体" w:eastAsia="方正仿宋简体" w:cs="仿宋_GB2312"/>
          <w:color w:val="auto"/>
          <w:sz w:val="32"/>
          <w:szCs w:val="32"/>
          <w:lang w:val="en-US" w:eastAsia="zh-CN"/>
          <w:highlight w:val="auto"/>
        </w:rPr>
      </w:pPr>
      <w:r>
        <w:rPr>
          <w:rFonts w:ascii="方正仿宋简体" w:eastAsia="方正仿宋简体" w:cs="仿宋_GB2312" w:hint="eastAsia"/>
          <w:color w:val="auto"/>
          <w:sz w:val="32"/>
          <w:szCs w:val="32"/>
          <w:lang w:val="en-US" w:eastAsia="zh-CN"/>
          <w:highlight w:val="auto"/>
        </w:rPr>
        <w:t>2.酱油检验项目包括氨基酸态氮、铵盐(以占氨基酸态氮的百分比计)、苯甲酸及其钠盐(以苯甲酸计)、标签、大肠菌群、对羟基苯甲酸酯类及其钠盐(以对羟基苯甲酸计)、菌落总数、全氮(以氮计)、山梨酸及其钾盐(以山梨酸计)、糖精钠(以糖精计)、脱氢乙酸及其钠盐(以脱氢乙酸计)。</w:t>
      </w:r>
    </w:p>
    <w:p>
      <w:pPr>
        <w:spacing w:line="560" w:lineRule="exact"/>
        <w:ind w:firstLineChars="200" w:firstLine="640"/>
        <w:jc w:val="both"/>
        <w:rPr>
          <w:rFonts w:eastAsia="黑体" w:hint="eastAsia"/>
          <w:szCs w:val="32"/>
          <w:lang w:eastAsia="zh-CN"/>
        </w:rPr>
      </w:pPr>
      <w:r>
        <w:rPr>
          <w:rFonts w:eastAsia="黑体"/>
          <w:szCs w:val="32"/>
          <w:lang w:eastAsia="zh-CN"/>
        </w:rPr>
        <w:t>三</w:t>
      </w:r>
      <w:r>
        <w:rPr>
          <w:rFonts w:eastAsia="黑体" w:hint="eastAsia"/>
          <w:szCs w:val="32"/>
          <w:lang w:eastAsia="zh-CN"/>
        </w:rPr>
        <w:t>、糕点</w:t>
      </w:r>
    </w:p>
    <w:p>
      <w:pPr>
        <w:spacing w:line="560" w:lineRule="exact"/>
        <w:ind w:firstLineChars="200" w:firstLine="640"/>
        <w:jc w:val="both"/>
        <w:rPr>
          <w:rFonts w:ascii="仿宋" w:cs="仿宋"/>
          <w:szCs w:val="32"/>
        </w:rPr>
      </w:pPr>
      <w:r>
        <w:rPr>
          <w:rFonts w:ascii="仿宋" w:cs="仿宋" w:hint="eastAsia"/>
          <w:szCs w:val="32"/>
        </w:rPr>
        <w:t>（一）抽检依据</w:t>
      </w:r>
    </w:p>
    <w:p>
      <w:pPr>
        <w:spacing w:line="560" w:lineRule="exact"/>
        <w:ind w:firstLineChars="200" w:firstLine="640"/>
        <w:jc w:val="both"/>
        <w:rPr>
          <w:rFonts w:ascii="仿宋" w:cs="仿宋"/>
          <w:szCs w:val="32"/>
        </w:rPr>
      </w:pPr>
      <w:r>
        <w:rPr>
          <w:rFonts w:ascii="仿宋" w:cs="仿宋" w:hint="eastAsia"/>
          <w:szCs w:val="32"/>
        </w:rPr>
        <w:t>抽检依据GB/T 20977-2007《糕点通则》,GB 7099-2015《食品安全国家标准 糕点、面包》,GB 29921-2013《食品安全国家标准  食品中致病菌限量》,GB 2760-2014《食品安全国家标准 食品添加剂使用标准》,GB 2762-2017《食品安全国家标准 食品中污染物限量》,食品整治办〔2009〕5号《关于印发〈食品中可能违法添加的非食用物质名单（第二批）〉的通知》标准要求。</w:t>
      </w:r>
    </w:p>
    <w:p>
      <w:pPr>
        <w:spacing w:line="560" w:lineRule="exact"/>
        <w:ind w:firstLineChars="200" w:firstLine="640"/>
        <w:jc w:val="both"/>
        <w:rPr>
          <w:rFonts w:ascii="仿宋" w:cs="仿宋"/>
          <w:szCs w:val="32"/>
        </w:rPr>
      </w:pPr>
      <w:r>
        <w:rPr>
          <w:rFonts w:ascii="仿宋" w:cs="仿宋" w:hint="eastAsia"/>
          <w:szCs w:val="32"/>
        </w:rPr>
        <w:t>（二）检验项目</w:t>
      </w:r>
    </w:p>
    <w:p>
      <w:pPr>
        <w:ind w:firstLineChars="200" w:firstLine="640"/>
        <w:jc w:val="both"/>
        <w:rPr>
          <w:rFonts w:ascii="仿宋_GB2312" w:eastAsia="仿宋_GB2312" w:cs="仿宋_GB2312" w:hint="eastAsia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  <w:highlight w:val="auto"/>
        </w:rPr>
        <w:t>糕点</w:t>
      </w:r>
      <w:r>
        <w:rPr>
          <w:rFonts w:ascii="仿宋_GB2312" w:eastAsia="仿宋_GB2312" w:cs="仿宋_GB2312" w:hint="eastAsia"/>
          <w:sz w:val="32"/>
          <w:szCs w:val="32"/>
          <w:highlight w:val="auto"/>
        </w:rPr>
        <w:t>检验项目包括酸价(以脂肪计)、过氧化值(以脂肪计)、铅(以Pb计)、富马酸二甲酯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pStyle w:val="15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variable"/>
    <w:sig w:usb0="00000283" w:usb1="288F0000" w:usb2="00000006" w:usb3="00000000" w:csb0="00040001" w:csb1="00000000"/>
  </w:font>
  <w:font w:name="方正黑体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楷体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rPr>
      <w:rFonts w:ascii="Times New Roman" w:eastAsia="仿宋" w:cs="Times New Roman" w:hAnsi="Times New Roman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FollowedHyperlink"/>
    <w:basedOn w:val="10"/>
    <w:rPr>
      <w:color w:val="1E90FF"/>
      <w:u w:val="none"/>
    </w:rPr>
  </w:style>
  <w:style w:type="character" w:styleId="19">
    <w:name w:val="Emphasis"/>
    <w:basedOn w:val="10"/>
    <w:rPr>
      <w:i/>
      <w:iCs/>
    </w:rPr>
  </w:style>
  <w:style w:type="character" w:styleId="20">
    <w:name w:val="Hyperlink"/>
    <w:basedOn w:val="10"/>
    <w:rPr>
      <w:color w:val="1E90FF"/>
      <w:u w:val="none"/>
    </w:rPr>
  </w:style>
  <w:style w:type="paragraph" w:styleId="21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137</TotalTime>
  <Application>Yozo_Office27021597764231179</Application>
  <Pages>3</Pages>
  <Words>1128</Words>
  <Characters>1362</Characters>
  <Lines>58</Lines>
  <Paragraphs>18</Paragraphs>
  <CharactersWithSpaces>1420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论大厅的重要性</dc:creator>
  <cp:lastModifiedBy>uos</cp:lastModifiedBy>
  <cp:revision>126</cp:revision>
  <dcterms:created xsi:type="dcterms:W3CDTF">2019-04-18T01:12:00Z</dcterms:created>
  <dcterms:modified xsi:type="dcterms:W3CDTF">2021-11-18T13:48:22Z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2052-11.1.0.10938</vt:lpwstr>
  </property>
  <property fmtid="{D5CDD505-2E9C-101B-9397-08002B2CF9AE}" pid="3" name="ICV">
    <vt:lpwstr>E431D850B1974BCB83DDE810910D3D29</vt:lpwstr>
  </property>
</Properties>
</file>