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rPr>
          <w:rFonts w:ascii="黑体" w:eastAsia="黑体" w:cs="黑体"/>
          <w:sz w:val="28"/>
          <w:szCs w:val="28"/>
        </w:rPr>
      </w:pPr>
      <w:r>
        <w:rPr>
          <w:rFonts w:ascii="黑体" w:eastAsia="黑体" w:cs="黑体" w:hint="eastAsia"/>
          <w:sz w:val="28"/>
          <w:szCs w:val="28"/>
        </w:rPr>
        <w:t>附件1</w:t>
      </w:r>
    </w:p>
    <w:p>
      <w:pPr>
        <w:ind w:firstLineChars="200" w:firstLine="640"/>
        <w:jc w:val="both"/>
        <w:rPr>
          <w:rFonts w:ascii="新宋体" w:eastAsia="新宋体" w:cs="新宋体"/>
          <w:b/>
          <w:bCs/>
          <w:sz w:val="36"/>
          <w:szCs w:val="36"/>
        </w:rPr>
      </w:pPr>
      <w:r>
        <w:rPr>
          <w:rFonts w:ascii="仿宋_GB2312" w:eastAsia="仿宋_GB2312" w:cs="仿宋_GB2312"/>
          <w:szCs w:val="32"/>
        </w:rPr>
        <w:t xml:space="preserve">             </w:t>
      </w:r>
      <w:r>
        <w:rPr>
          <w:rFonts w:ascii="方正小标宋简体" w:eastAsia="方正小标宋简体" w:cs="方正小标宋简体" w:hint="eastAsia"/>
          <w:sz w:val="36"/>
          <w:szCs w:val="36"/>
        </w:rPr>
        <w:t xml:space="preserve"> 本次检验项目</w:t>
      </w:r>
      <w:r>
        <w:rPr>
          <w:rFonts w:ascii="新宋体" w:eastAsia="新宋体" w:cs="新宋体" w:hint="eastAsia"/>
          <w:b/>
          <w:bCs/>
          <w:sz w:val="36"/>
          <w:szCs w:val="36"/>
        </w:rPr>
        <w:t xml:space="preserve"> </w:t>
      </w:r>
    </w:p>
    <w:p>
      <w:pPr>
        <w:spacing w:line="560" w:lineRule="exact"/>
        <w:ind w:firstLineChars="200" w:firstLine="640"/>
        <w:jc w:val="both"/>
        <w:rPr>
          <w:rFonts w:ascii="黑体" w:eastAsia="黑体" w:cs="黑体" w:hint="eastAsia"/>
          <w:sz w:val="32"/>
          <w:szCs w:val="32"/>
          <w:lang w:eastAsia="zh-CN"/>
        </w:rPr>
      </w:pPr>
      <w:r>
        <w:rPr>
          <w:rFonts w:ascii="黑体" w:eastAsia="黑体" w:cs="黑体" w:hint="eastAsia"/>
          <w:sz w:val="32"/>
          <w:szCs w:val="32"/>
          <w:lang w:eastAsia="zh-CN"/>
        </w:rPr>
        <w:t>一、食用农产品</w:t>
      </w:r>
    </w:p>
    <w:p>
      <w:pPr>
        <w:spacing w:line="560" w:lineRule="exact"/>
        <w:jc w:val="both"/>
        <w:rPr>
          <w:rFonts w:ascii="仿宋_GB2312" w:eastAsia="仿宋_GB2312" w:cs="仿宋_GB2312" w:hint="eastAsia"/>
          <w:sz w:val="32"/>
          <w:szCs w:val="32"/>
          <w:lang w:val="en-US" w:eastAsia="zh-CN"/>
        </w:rPr>
      </w:pPr>
      <w:r>
        <w:rPr>
          <w:rFonts w:ascii="仿宋_GB2312" w:eastAsia="仿宋_GB2312" w:cs="仿宋_GB2312"/>
          <w:sz w:val="32"/>
          <w:szCs w:val="32"/>
        </w:rPr>
        <w:t xml:space="preserve">    </w:t>
      </w:r>
      <w:r>
        <w:rPr>
          <w:rFonts w:ascii="仿宋_GB2312" w:eastAsia="仿宋_GB2312" w:cs="仿宋_GB2312" w:hint="eastAsia"/>
          <w:sz w:val="32"/>
          <w:szCs w:val="32"/>
        </w:rPr>
        <w:t>（一）抽检依据</w:t>
      </w:r>
    </w:p>
    <w:p>
      <w:pPr>
        <w:spacing w:line="560" w:lineRule="exact"/>
        <w:ind w:left="0" w:firstLineChars="200" w:firstLine="640"/>
        <w:jc w:val="both"/>
        <w:rPr>
          <w:rFonts w:ascii="仿宋_GB2312" w:eastAsia="仿宋_GB2312" w:cs="仿宋_GB2312" w:hint="eastAsia"/>
          <w:sz w:val="32"/>
          <w:szCs w:val="32"/>
          <w:lang w:eastAsia="zh-CN"/>
        </w:rPr>
      </w:pPr>
      <w:r>
        <w:rPr>
          <w:rFonts w:ascii="仿宋_GB2312" w:eastAsia="仿宋_GB2312" w:cs="仿宋_GB2312" w:hint="eastAsia"/>
          <w:sz w:val="32"/>
          <w:szCs w:val="32"/>
        </w:rPr>
        <w:t>抽检依据</w:t>
      </w:r>
      <w:r>
        <w:rPr>
          <w:rFonts w:ascii="仿宋_GB2312" w:eastAsia="仿宋_GB2312" w:cs="仿宋_GB2312" w:hint="eastAsia"/>
          <w:sz w:val="32"/>
          <w:szCs w:val="32"/>
          <w:lang w:eastAsia="zh-CN"/>
        </w:rPr>
        <w:t>是</w:t>
      </w:r>
      <w:r>
        <w:rPr>
          <w:rFonts w:ascii="仿宋_GB2312" w:eastAsia="仿宋_GB2312" w:cs="仿宋_GB2312" w:hint="eastAsia"/>
          <w:sz w:val="32"/>
          <w:szCs w:val="32"/>
        </w:rPr>
        <w:t>《食品安全国家标准 食品中污染物限量》（GB 2762-2017）</w:t>
      </w:r>
      <w:r>
        <w:rPr>
          <w:rFonts w:ascii="仿宋_GB2312" w:eastAsia="仿宋_GB2312" w:cs="仿宋_GB2312" w:hint="eastAsia"/>
          <w:sz w:val="32"/>
          <w:szCs w:val="32"/>
          <w:lang w:eastAsia="zh-CN"/>
        </w:rPr>
        <w:t>、</w:t>
      </w:r>
      <w:r>
        <w:rPr>
          <w:rFonts w:ascii="仿宋_GB2312" w:eastAsia="仿宋_GB2312" w:cs="仿宋_GB2312" w:hint="eastAsia"/>
          <w:sz w:val="32"/>
          <w:szCs w:val="32"/>
        </w:rPr>
        <w:t>《食品安全国家标准 食品中农药最大残留限量》</w:t>
      </w:r>
      <w:r>
        <w:rPr>
          <w:rFonts w:ascii="仿宋_GB2312" w:eastAsia="仿宋_GB2312" w:cs="仿宋_GB2312" w:hint="eastAsia"/>
          <w:sz w:val="32"/>
          <w:szCs w:val="32"/>
          <w:lang w:eastAsia="zh-CN"/>
        </w:rPr>
        <w:t>（</w:t>
      </w:r>
      <w:r>
        <w:rPr>
          <w:rFonts w:ascii="仿宋_GB2312" w:eastAsia="仿宋_GB2312" w:cs="仿宋_GB2312" w:hint="eastAsia"/>
          <w:sz w:val="32"/>
          <w:szCs w:val="32"/>
        </w:rPr>
        <w:t>GB 2763-20</w:t>
      </w:r>
      <w:r>
        <w:rPr>
          <w:rFonts w:ascii="仿宋_GB2312" w:eastAsia="仿宋_GB2312" w:cs="仿宋_GB2312" w:hint="eastAsia"/>
          <w:sz w:val="32"/>
          <w:szCs w:val="32"/>
          <w:lang w:val="en-US" w:eastAsia="zh-CN"/>
        </w:rPr>
        <w:t>21</w:t>
      </w:r>
      <w:r>
        <w:rPr>
          <w:rFonts w:ascii="仿宋_GB2312" w:eastAsia="仿宋_GB2312" w:cs="仿宋_GB2312" w:hint="eastAsia"/>
          <w:sz w:val="32"/>
          <w:szCs w:val="32"/>
          <w:lang w:eastAsia="zh-CN"/>
        </w:rPr>
        <w:t>）、《食品动物中禁止使用的药品及其他化合物清单》（农业农村部公告第250号）、《食品安全国家标准 食品中兽药最大残留限量》（GB 31650-</w:t>
      </w:r>
    </w:p>
    <w:p>
      <w:pPr>
        <w:spacing w:line="560" w:lineRule="exact"/>
        <w:jc w:val="both"/>
        <w:rPr>
          <w:rFonts w:ascii="仿宋_GB2312" w:eastAsia="仿宋_GB2312" w:cs="仿宋_GB2312" w:hint="eastAsia"/>
          <w:sz w:val="32"/>
          <w:szCs w:val="32"/>
        </w:rPr>
      </w:pPr>
      <w:r>
        <w:rPr>
          <w:rFonts w:ascii="仿宋_GB2312" w:eastAsia="仿宋_GB2312" w:cs="仿宋_GB2312" w:hint="eastAsia"/>
          <w:sz w:val="32"/>
          <w:szCs w:val="32"/>
          <w:lang w:eastAsia="zh-CN"/>
        </w:rPr>
        <w:t>2019）、</w:t>
      </w:r>
      <w:r>
        <w:rPr>
          <w:rFonts w:ascii="仿宋_GB2312" w:eastAsia="仿宋_GB2312" w:cs="仿宋_GB2312" w:hint="eastAsia"/>
          <w:sz w:val="32"/>
          <w:szCs w:val="32"/>
        </w:rPr>
        <w:t>《食品安全国家标准 鲜(冻)畜、禽产品》</w:t>
      </w:r>
      <w:r>
        <w:rPr>
          <w:rFonts w:ascii="仿宋_GB2312" w:eastAsia="仿宋_GB2312" w:cs="仿宋_GB2312" w:hint="eastAsia"/>
          <w:sz w:val="32"/>
          <w:szCs w:val="32"/>
          <w:lang w:eastAsia="zh-CN"/>
        </w:rPr>
        <w:t>（</w:t>
      </w:r>
      <w:r>
        <w:rPr>
          <w:rFonts w:ascii="仿宋_GB2312" w:eastAsia="仿宋_GB2312" w:cs="仿宋_GB2312" w:hint="eastAsia"/>
          <w:sz w:val="32"/>
          <w:szCs w:val="32"/>
        </w:rPr>
        <w:t>GB 2707-</w:t>
      </w:r>
    </w:p>
    <w:p>
      <w:pPr>
        <w:keepNext w:val="0"/>
        <w:keepLines w:val="0"/>
        <w:widowControl/>
        <w:suppressLineNumbers w:val="0"/>
        <w:spacing w:line="560" w:lineRule="exact"/>
        <w:jc w:val="left"/>
        <w:rPr>
          <w:rFonts w:ascii="仿宋_GB2312" w:eastAsia="仿宋_GB2312" w:cs="仿宋_GB2312" w:hint="eastAsia"/>
          <w:sz w:val="32"/>
          <w:szCs w:val="32"/>
          <w:lang w:eastAsia="zh-CN"/>
        </w:rPr>
      </w:pPr>
      <w:r>
        <w:rPr>
          <w:rFonts w:ascii="仿宋_GB2312" w:eastAsia="仿宋_GB2312" w:cs="仿宋_GB2312" w:hint="eastAsia"/>
          <w:sz w:val="32"/>
          <w:szCs w:val="32"/>
        </w:rPr>
        <w:t>2016</w:t>
      </w:r>
      <w:r>
        <w:rPr>
          <w:rFonts w:ascii="仿宋_GB2312" w:eastAsia="仿宋_GB2312" w:cs="仿宋_GB2312" w:hint="eastAsia"/>
          <w:sz w:val="32"/>
          <w:szCs w:val="32"/>
          <w:lang w:eastAsia="zh-CN"/>
        </w:rPr>
        <w:t>）、整顿办函〔2010〕50 号</w:t>
      </w:r>
      <w:r>
        <w:rPr>
          <w:rFonts w:ascii="仿宋_GB2312" w:eastAsia="仿宋_GB2312" w:cs="仿宋_GB2312" w:hint="eastAsia"/>
          <w:sz w:val="32"/>
          <w:szCs w:val="32"/>
        </w:rPr>
        <w:t>等</w:t>
      </w:r>
      <w:r>
        <w:rPr>
          <w:rFonts w:ascii="仿宋" w:eastAsia="仿宋" w:hint="eastAsia"/>
          <w:sz w:val="32"/>
          <w:szCs w:val="32"/>
        </w:rPr>
        <w:t>标准及产品明示标准和指标的要求</w:t>
      </w:r>
      <w:r>
        <w:rPr>
          <w:rFonts w:ascii="仿宋_GB2312" w:eastAsia="仿宋_GB2312" w:cs="仿宋_GB2312" w:hint="eastAsia"/>
          <w:sz w:val="32"/>
          <w:szCs w:val="32"/>
          <w:lang w:eastAsia="zh-CN"/>
        </w:rPr>
        <w:t>。</w:t>
      </w:r>
    </w:p>
    <w:p>
      <w:pPr>
        <w:numPr>
          <w:ilvl w:val="0"/>
          <w:numId w:val="1"/>
        </w:numPr>
        <w:spacing w:line="560" w:lineRule="exact"/>
        <w:ind w:leftChars="200" w:left="960" w:hangingChars="100" w:hanging="320"/>
        <w:jc w:val="left"/>
        <w:rPr>
          <w:rFonts w:ascii="仿宋_GB2312" w:eastAsia="仿宋_GB2312" w:cs="仿宋_GB2312" w:hint="eastAsia"/>
          <w:sz w:val="32"/>
          <w:szCs w:val="32"/>
          <w:lang w:eastAsia="zh-CN"/>
        </w:rPr>
      </w:pPr>
      <w:r>
        <w:rPr>
          <w:rFonts w:ascii="仿宋_GB2312" w:eastAsia="仿宋_GB2312" w:cs="仿宋_GB2312" w:hint="eastAsia"/>
          <w:sz w:val="32"/>
          <w:szCs w:val="32"/>
        </w:rPr>
        <w:t>检验项目</w:t>
      </w:r>
    </w:p>
    <w:p>
      <w:pPr>
        <w:spacing w:line="560" w:lineRule="exact"/>
        <w:ind w:left="0" w:firstLineChars="200" w:firstLine="640"/>
        <w:jc w:val="both"/>
        <w:rPr>
          <w:rFonts w:ascii="仿宋_GB2312" w:eastAsia="仿宋_GB2312" w:cs="仿宋_GB2312" w:hint="eastAsia"/>
          <w:sz w:val="32"/>
          <w:szCs w:val="32"/>
          <w:lang w:val="en-US" w:eastAsia="zh-CN"/>
        </w:rPr>
      </w:pPr>
      <w:r>
        <w:rPr>
          <w:rFonts w:ascii="仿宋_GB2312" w:eastAsia="仿宋_GB2312" w:cs="仿宋_GB2312" w:hint="eastAsia"/>
          <w:sz w:val="32"/>
          <w:szCs w:val="32"/>
          <w:lang w:val="en-US" w:eastAsia="zh-CN"/>
        </w:rPr>
        <w:t>1.牛肉</w:t>
      </w:r>
      <w:r>
        <w:rPr>
          <w:rFonts w:ascii="仿宋_GB2312" w:eastAsia="仿宋_GB2312" w:cs="仿宋_GB2312" w:hint="eastAsia"/>
          <w:sz w:val="32"/>
          <w:szCs w:val="32"/>
        </w:rPr>
        <w:t>检验项目</w:t>
      </w:r>
      <w:r>
        <w:rPr>
          <w:rFonts w:ascii="仿宋_GB2312" w:eastAsia="仿宋_GB2312" w:cs="仿宋_GB2312" w:hint="eastAsia"/>
          <w:sz w:val="32"/>
          <w:szCs w:val="32"/>
          <w:lang w:val="en-US" w:eastAsia="zh-CN"/>
        </w:rPr>
        <w:t>为挥发性盐基氮、恩诺沙星、呋喃唑酮代谢物、呋喃西林代谢物、磺胺类（总量）、甲氧苄啶、氯霉素、氟苯尼考、五氯酚酸钠（以五氯酚计）、多西环素、土霉素、四环素、克伦特罗、莱克多巴胺、沙丁胺醇、地塞米松、林可霉素、土霉素/金霉素/四环素（组合含量）。</w:t>
      </w:r>
    </w:p>
    <w:p>
      <w:pPr>
        <w:spacing w:line="560" w:lineRule="exact"/>
        <w:ind w:left="0" w:firstLineChars="200" w:firstLine="640"/>
        <w:jc w:val="both"/>
        <w:rPr>
          <w:rFonts w:ascii="仿宋_GB2312" w:eastAsia="仿宋_GB2312" w:cs="仿宋_GB2312"/>
          <w:sz w:val="32"/>
          <w:szCs w:val="32"/>
          <w:lang w:val="en-US" w:eastAsia="zh-CN"/>
        </w:rPr>
      </w:pPr>
      <w:r>
        <w:rPr>
          <w:rFonts w:ascii="仿宋_GB2312" w:eastAsia="仿宋_GB2312" w:cs="仿宋_GB2312" w:hint="eastAsia"/>
          <w:sz w:val="32"/>
          <w:szCs w:val="32"/>
          <w:lang w:val="en-US" w:eastAsia="zh-CN"/>
        </w:rPr>
        <w:t>2.辣椒</w:t>
      </w:r>
      <w:r>
        <w:rPr>
          <w:rFonts w:ascii="仿宋_GB2312" w:eastAsia="仿宋_GB2312" w:cs="仿宋_GB2312" w:hint="eastAsia"/>
          <w:sz w:val="32"/>
          <w:szCs w:val="32"/>
        </w:rPr>
        <w:t>检验项目</w:t>
      </w:r>
      <w:r>
        <w:rPr>
          <w:rFonts w:ascii="仿宋_GB2312" w:eastAsia="仿宋_GB2312" w:cs="仿宋_GB2312" w:hint="eastAsia"/>
          <w:sz w:val="32"/>
          <w:szCs w:val="32"/>
          <w:lang w:val="en-US" w:eastAsia="zh-CN"/>
        </w:rPr>
        <w:t>为镉（以Cd计）、百菌清、吡虫啉、吡唑醚菌酯、丙溴磷、啶虫脒、多菌灵、氟虫腈、甲氨基阿维菌素苯甲酸盐、甲胺磷、甲拌磷、甲基异柳磷、克百威、氯氟氰菊酯和高效氯氟氰菊酯、氯氰菊酯和高效氯氰菊酯、咪鲜胺和咪鲜胺锰盐、噻虫胺、杀扑磷、水胺硫磷、氧乐果。</w:t>
      </w:r>
    </w:p>
    <w:p>
      <w:pPr>
        <w:keepNext w:val="0"/>
        <w:keepLines w:val="0"/>
        <w:pageBreakBefore w:val="0"/>
        <w:widowControl/>
        <w:kinsoku/>
        <w:wordWrap/>
        <w:overflowPunct/>
        <w:topLinePunct w:val="0"/>
        <w:autoSpaceDE/>
        <w:autoSpaceDN/>
        <w:adjustRightInd/>
        <w:snapToGrid/>
        <w:spacing w:line="560" w:lineRule="exact"/>
        <w:ind w:firstLineChars="200" w:firstLine="640"/>
        <w:jc w:val="both"/>
        <w:rPr>
          <w:rFonts w:ascii="仿宋" w:cs="仿宋" w:hint="eastAsia"/>
          <w:szCs w:val="32"/>
        </w:rPr>
      </w:pPr>
      <w:r>
        <w:rPr>
          <w:rFonts w:ascii="仿宋" w:eastAsia="仿宋" w:cs="仿宋"/>
          <w:sz w:val="32"/>
          <w:szCs w:val="32"/>
          <w:lang w:val="en-US" w:eastAsia="zh-CN" w:bidi="ar-SA"/>
        </w:rPr>
        <w:t>3.</w:t>
      </w:r>
      <w:r>
        <w:rPr>
          <w:rFonts w:ascii="仿宋" w:eastAsia="仿宋" w:cs="仿宋" w:hint="eastAsia"/>
          <w:sz w:val="32"/>
          <w:szCs w:val="32"/>
          <w:lang w:val="en-US" w:eastAsia="zh-CN" w:bidi="ar-SA"/>
        </w:rPr>
        <w:t>韭菜检验项目包括铅（以Pb计）、镉（以Cd计）、阿维菌素、敌敌畏、啶虫脒、毒死蜱、多菌灵、二甲戊灵、氟虫腈、腐霉利、甲胺磷、甲拌磷、甲基异柳磷、克百威、氯氟氰菊酯和高效氯氟氰菊酯、氯氰菊酯和高效氯氰菊酯、灭线磷、水胺硫磷、肟菌酯、辛硫磷、氧乐果、乙酰甲胺磷。</w:t>
      </w:r>
    </w:p>
    <w:p>
      <w:pPr>
        <w:spacing w:line="560" w:lineRule="exact"/>
        <w:ind w:firstLineChars="200" w:firstLine="640"/>
        <w:jc w:val="both"/>
        <w:rPr>
          <w:rFonts w:eastAsia="黑体" w:hint="eastAsia"/>
          <w:szCs w:val="32"/>
          <w:lang w:eastAsia="zh-CN"/>
        </w:rPr>
      </w:pPr>
      <w:r>
        <w:rPr>
          <w:rFonts w:eastAsia="黑体"/>
          <w:szCs w:val="32"/>
          <w:lang w:eastAsia="zh-CN"/>
        </w:rPr>
        <w:t>二</w:t>
      </w:r>
      <w:r>
        <w:rPr>
          <w:rFonts w:eastAsia="黑体" w:hint="eastAsia"/>
          <w:szCs w:val="32"/>
          <w:lang w:eastAsia="zh-CN"/>
        </w:rPr>
        <w:t>、餐饮食品</w:t>
      </w:r>
    </w:p>
    <w:p>
      <w:pPr>
        <w:spacing w:line="560" w:lineRule="exact"/>
        <w:ind w:firstLineChars="200" w:firstLine="640"/>
        <w:jc w:val="both"/>
        <w:rPr>
          <w:rFonts w:ascii="仿宋" w:cs="仿宋"/>
          <w:szCs w:val="32"/>
        </w:rPr>
      </w:pPr>
      <w:r>
        <w:rPr>
          <w:rFonts w:ascii="仿宋" w:cs="仿宋" w:hint="eastAsia"/>
          <w:szCs w:val="32"/>
        </w:rPr>
        <w:t>（一）抽检依据</w:t>
      </w:r>
    </w:p>
    <w:p>
      <w:pPr>
        <w:spacing w:line="560" w:lineRule="exact"/>
        <w:ind w:firstLineChars="200" w:firstLine="640"/>
        <w:jc w:val="both"/>
        <w:rPr>
          <w:rFonts w:ascii="仿宋" w:cs="仿宋"/>
          <w:szCs w:val="32"/>
        </w:rPr>
      </w:pPr>
      <w:r>
        <w:rPr>
          <w:rFonts w:ascii="仿宋" w:cs="仿宋" w:hint="eastAsia"/>
          <w:szCs w:val="32"/>
        </w:rPr>
        <w:t>抽检依据GB 14934-2016《食品安全国家标准 消毒餐（饮）具》标准要求。</w:t>
      </w:r>
    </w:p>
    <w:p>
      <w:pPr>
        <w:spacing w:line="560" w:lineRule="exact"/>
        <w:ind w:firstLineChars="200" w:firstLine="640"/>
        <w:jc w:val="both"/>
        <w:rPr>
          <w:rFonts w:ascii="仿宋" w:cs="仿宋"/>
          <w:szCs w:val="32"/>
        </w:rPr>
      </w:pPr>
      <w:r>
        <w:rPr>
          <w:rFonts w:ascii="仿宋" w:cs="仿宋" w:hint="eastAsia"/>
          <w:szCs w:val="32"/>
        </w:rPr>
        <w:t>（二）检验项目</w:t>
      </w:r>
    </w:p>
    <w:p>
      <w:pPr>
        <w:spacing w:line="560" w:lineRule="exact"/>
        <w:ind w:firstLineChars="200" w:firstLine="640"/>
        <w:jc w:val="both"/>
        <w:rPr>
          <w:rFonts w:ascii="仿宋_GB2312" w:eastAsia="仿宋_GB2312" w:cs="仿宋_GB2312" w:hint="eastAsia"/>
          <w:sz w:val="32"/>
          <w:szCs w:val="32"/>
          <w:lang w:eastAsia="zh-CN"/>
          <w:highlight w:val="auto"/>
        </w:rPr>
      </w:pPr>
      <w:r>
        <w:rPr>
          <w:rFonts w:ascii="仿宋_GB2312" w:eastAsia="仿宋_GB2312" w:cs="仿宋_GB2312" w:hint="eastAsia"/>
          <w:sz w:val="32"/>
          <w:szCs w:val="32"/>
          <w:highlight w:val="auto"/>
        </w:rPr>
        <w:t>复用餐饮具检验项目包括阴离子合成洗涤剂(以十二烷基苯磺酸钠计)、大肠菌群</w:t>
      </w:r>
      <w:r>
        <w:rPr>
          <w:rFonts w:ascii="仿宋_GB2312" w:eastAsia="仿宋_GB2312" w:cs="仿宋_GB2312" w:hint="eastAsia"/>
          <w:sz w:val="32"/>
          <w:szCs w:val="32"/>
          <w:lang w:eastAsia="zh-CN"/>
          <w:highlight w:val="auto"/>
        </w:rPr>
        <w:t>。</w:t>
      </w:r>
    </w:p>
    <w:p>
      <w:pPr>
        <w:keepNext w:val="0"/>
        <w:keepLines w:val="0"/>
        <w:pageBreakBefore w:val="0"/>
        <w:widowControl/>
        <w:kinsoku/>
        <w:wordWrap/>
        <w:overflowPunct/>
        <w:topLinePunct w:val="0"/>
        <w:autoSpaceDE/>
        <w:autoSpaceDN/>
        <w:bidi w:val="0"/>
        <w:adjustRightInd/>
        <w:snapToGrid/>
        <w:spacing w:before="0" w:after="0" w:line="560" w:lineRule="exact"/>
        <w:ind w:left="0" w:right="0" w:firstLineChars="200" w:firstLine="640"/>
        <w:jc w:val="both"/>
        <w:textAlignment w:val="auto"/>
        <w:outlineLvl w:val="9"/>
        <w:rPr>
          <w:rFonts w:ascii="黑体" w:eastAsia="黑体" w:cs="黑体" w:hint="eastAsia"/>
          <w:sz w:val="32"/>
          <w:szCs w:val="32"/>
          <w:lang w:val="en-US" w:eastAsia="zh-CN" w:bidi="ar-SA"/>
        </w:rPr>
      </w:pPr>
      <w:r>
        <w:rPr>
          <w:rFonts w:ascii="黑体" w:eastAsia="黑体" w:cs="黑体"/>
          <w:sz w:val="32"/>
          <w:szCs w:val="32"/>
          <w:lang w:val="en-US" w:eastAsia="zh-CN" w:bidi="ar-SA"/>
        </w:rPr>
        <w:t>三</w:t>
      </w:r>
      <w:r>
        <w:rPr>
          <w:rFonts w:ascii="黑体" w:eastAsia="黑体" w:cs="黑体" w:hint="eastAsia"/>
          <w:sz w:val="32"/>
          <w:szCs w:val="32"/>
          <w:lang w:val="en-US" w:eastAsia="zh-CN" w:bidi="ar-SA"/>
        </w:rPr>
        <w:t>、肉制品</w:t>
      </w:r>
    </w:p>
    <w:p>
      <w:pPr>
        <w:keepNext w:val="0"/>
        <w:keepLines w:val="0"/>
        <w:pageBreakBefore w:val="0"/>
        <w:widowControl/>
        <w:kinsoku/>
        <w:wordWrap/>
        <w:overflowPunct/>
        <w:topLinePunct w:val="0"/>
        <w:autoSpaceDE/>
        <w:autoSpaceDN/>
        <w:bidi w:val="0"/>
        <w:adjustRightInd/>
        <w:snapToGrid/>
        <w:spacing w:before="0" w:after="0" w:line="560" w:lineRule="exact"/>
        <w:ind w:right="0"/>
        <w:jc w:val="both"/>
        <w:textAlignment w:val="auto"/>
        <w:outlineLvl w:val="9"/>
        <w:rPr>
          <w:rFonts w:ascii="楷体" w:eastAsia="楷体" w:cs="楷体" w:hint="eastAsia"/>
          <w:sz w:val="32"/>
          <w:szCs w:val="32"/>
          <w:lang w:bidi="ar-SA"/>
        </w:rPr>
      </w:pPr>
      <w:r>
        <w:rPr>
          <w:rFonts w:ascii="方正仿宋简体" w:eastAsia="方正仿宋简体" w:cs="仿宋_GB2312" w:hint="eastAsia"/>
          <w:sz w:val="32"/>
          <w:szCs w:val="32"/>
          <w:lang w:val="en-US" w:eastAsia="zh-CN" w:bidi="ar-SA"/>
        </w:rPr>
        <w:t xml:space="preserve"> </w:t>
      </w:r>
      <w:r>
        <w:rPr>
          <w:rFonts w:ascii="方正仿宋简体" w:eastAsia="方正仿宋简体" w:cs="仿宋_GB2312" w:hint="eastAsia"/>
          <w:sz w:val="32"/>
          <w:szCs w:val="32"/>
          <w:lang w:val="en-US" w:eastAsia="zh-CN" w:bidi="ar-SA"/>
        </w:rPr>
        <w:t xml:space="preserve">  </w:t>
      </w:r>
      <w:r>
        <w:rPr>
          <w:rFonts w:ascii="楷体" w:eastAsia="楷体" w:cs="楷体" w:hint="eastAsia"/>
          <w:sz w:val="32"/>
          <w:szCs w:val="32"/>
          <w:lang w:bidi="ar-SA"/>
        </w:rPr>
        <w:t>（一）抽检依据</w:t>
      </w:r>
    </w:p>
    <w:p>
      <w:pPr>
        <w:keepNext w:val="0"/>
        <w:keepLines w:val="0"/>
        <w:pageBreakBefore w:val="0"/>
        <w:widowControl/>
        <w:kinsoku/>
        <w:wordWrap/>
        <w:overflowPunct/>
        <w:topLinePunct w:val="0"/>
        <w:autoSpaceDE/>
        <w:autoSpaceDN/>
        <w:bidi w:val="0"/>
        <w:adjustRightInd/>
        <w:snapToGrid/>
        <w:spacing w:before="0" w:after="0" w:line="560" w:lineRule="exact"/>
        <w:ind w:right="0" w:firstLineChars="200" w:firstLine="640"/>
        <w:jc w:val="both"/>
        <w:textAlignment w:val="auto"/>
        <w:outlineLvl w:val="9"/>
        <w:rPr>
          <w:rFonts w:ascii="仿宋" w:eastAsia="仿宋" w:cs="仿宋" w:hint="eastAsia"/>
          <w:sz w:val="32"/>
          <w:szCs w:val="32"/>
          <w:lang w:eastAsia="zh-CN" w:bidi="ar-SA"/>
        </w:rPr>
      </w:pPr>
      <w:r>
        <w:rPr>
          <w:rFonts w:ascii="仿宋" w:eastAsia="仿宋" w:cs="仿宋" w:hint="eastAsia"/>
          <w:sz w:val="32"/>
          <w:szCs w:val="32"/>
          <w:lang w:eastAsia="zh-CN" w:bidi="ar-SA"/>
        </w:rPr>
        <w:t>抽检依据《食品安全国家标准 食品添加剂使用标准》（GB 2760-2014）、《食品安全国家标准 食品中污染物限量》（GB 2762-2017）、整顿办函（</w:t>
      </w:r>
      <w:r>
        <w:rPr>
          <w:rFonts w:ascii="仿宋" w:eastAsia="仿宋" w:cs="仿宋" w:hint="eastAsia"/>
          <w:sz w:val="32"/>
          <w:szCs w:val="32"/>
          <w:lang w:val="en-US" w:eastAsia="zh-CN" w:bidi="ar-SA"/>
        </w:rPr>
        <w:t>2011</w:t>
      </w:r>
      <w:r>
        <w:rPr>
          <w:rFonts w:ascii="仿宋" w:eastAsia="仿宋" w:cs="仿宋" w:hint="eastAsia"/>
          <w:sz w:val="32"/>
          <w:szCs w:val="32"/>
          <w:lang w:eastAsia="zh-CN" w:bidi="ar-SA"/>
        </w:rPr>
        <w:t>）</w:t>
      </w:r>
      <w:r>
        <w:rPr>
          <w:rFonts w:ascii="仿宋" w:eastAsia="仿宋" w:cs="仿宋" w:hint="eastAsia"/>
          <w:sz w:val="32"/>
          <w:szCs w:val="32"/>
          <w:lang w:val="en-US" w:eastAsia="zh-CN" w:bidi="ar-SA"/>
        </w:rPr>
        <w:t>1号</w:t>
      </w:r>
      <w:r>
        <w:rPr>
          <w:rFonts w:ascii="仿宋" w:eastAsia="仿宋" w:cs="仿宋" w:hint="eastAsia"/>
          <w:sz w:val="32"/>
          <w:szCs w:val="32"/>
          <w:lang w:eastAsia="zh-CN" w:bidi="ar-SA"/>
        </w:rPr>
        <w:t>《食品中可能违法添加的非食用物质和易滥用的食品添加剂品种名单(第五批)》</w:t>
      </w:r>
      <w:r>
        <w:rPr>
          <w:rFonts w:ascii="仿宋" w:eastAsia="仿宋" w:cs="仿宋" w:hint="eastAsia"/>
          <w:sz w:val="32"/>
          <w:szCs w:val="32"/>
          <w:lang w:val="en-US" w:eastAsia="zh-CN" w:bidi="ar-SA"/>
        </w:rPr>
        <w:t>、</w:t>
      </w:r>
      <w:r>
        <w:rPr>
          <w:rFonts w:ascii="仿宋" w:eastAsia="仿宋" w:cs="仿宋" w:hint="eastAsia"/>
          <w:sz w:val="32"/>
          <w:szCs w:val="32"/>
          <w:lang w:eastAsia="zh-CN" w:bidi="ar-SA"/>
        </w:rPr>
        <w:t>《食品安全国家标准 食品中致病菌限量》（</w:t>
      </w:r>
      <w:r>
        <w:rPr>
          <w:rFonts w:ascii="仿宋" w:eastAsia="仿宋" w:cs="仿宋" w:hint="eastAsia"/>
          <w:sz w:val="32"/>
          <w:szCs w:val="32"/>
          <w:lang w:val="en-US" w:eastAsia="zh-CN" w:bidi="ar-SA"/>
        </w:rPr>
        <w:t>GB29921-2013</w:t>
      </w:r>
      <w:r>
        <w:rPr>
          <w:rFonts w:ascii="仿宋" w:eastAsia="仿宋" w:cs="仿宋" w:hint="eastAsia"/>
          <w:sz w:val="32"/>
          <w:szCs w:val="32"/>
          <w:lang w:eastAsia="zh-CN" w:bidi="ar-SA"/>
        </w:rPr>
        <w:t>）、食品整治办（</w:t>
      </w:r>
      <w:r>
        <w:rPr>
          <w:rFonts w:ascii="仿宋" w:eastAsia="仿宋" w:cs="仿宋" w:hint="eastAsia"/>
          <w:sz w:val="32"/>
          <w:szCs w:val="32"/>
          <w:lang w:val="en-US" w:eastAsia="zh-CN" w:bidi="ar-SA"/>
        </w:rPr>
        <w:t>2008</w:t>
      </w:r>
      <w:r>
        <w:rPr>
          <w:rFonts w:ascii="仿宋" w:eastAsia="仿宋" w:cs="仿宋" w:hint="eastAsia"/>
          <w:sz w:val="32"/>
          <w:szCs w:val="32"/>
          <w:lang w:eastAsia="zh-CN" w:bidi="ar-SA"/>
        </w:rPr>
        <w:t>）</w:t>
      </w:r>
      <w:r>
        <w:rPr>
          <w:rFonts w:ascii="仿宋" w:eastAsia="仿宋" w:cs="仿宋" w:hint="eastAsia"/>
          <w:sz w:val="32"/>
          <w:szCs w:val="32"/>
          <w:lang w:val="en-US" w:eastAsia="zh-CN" w:bidi="ar-SA"/>
        </w:rPr>
        <w:t>3号（</w:t>
      </w:r>
      <w:r>
        <w:rPr>
          <w:rFonts w:ascii="仿宋" w:eastAsia="仿宋" w:cs="仿宋" w:hint="eastAsia"/>
          <w:sz w:val="32"/>
          <w:szCs w:val="32"/>
          <w:lang w:eastAsia="zh-CN" w:bidi="ar-SA"/>
        </w:rPr>
        <w:t>食品中可能违法添加的非食用物质和易滥用的食品添加剂品种名单(第一批)》</w:t>
      </w:r>
      <w:r>
        <w:rPr>
          <w:rFonts w:ascii="仿宋" w:eastAsia="仿宋" w:cs="仿宋" w:hint="eastAsia"/>
          <w:sz w:val="32"/>
          <w:szCs w:val="32"/>
          <w:lang w:val="en-US" w:eastAsia="zh-CN" w:bidi="ar-SA"/>
        </w:rPr>
        <w:t>）、《</w:t>
      </w:r>
      <w:r>
        <w:rPr>
          <w:rFonts w:ascii="仿宋" w:eastAsia="仿宋" w:cs="仿宋" w:hint="eastAsia"/>
          <w:sz w:val="32"/>
          <w:szCs w:val="32"/>
          <w:lang w:eastAsia="zh-CN" w:bidi="ar-SA"/>
        </w:rPr>
        <w:t>食品安全国家标准 熟肉制品</w:t>
      </w:r>
      <w:r>
        <w:rPr>
          <w:rFonts w:ascii="仿宋" w:eastAsia="仿宋" w:cs="仿宋" w:hint="eastAsia"/>
          <w:sz w:val="32"/>
          <w:szCs w:val="32"/>
          <w:lang w:val="en-US" w:eastAsia="zh-CN" w:bidi="ar-SA"/>
        </w:rPr>
        <w:t>》（GB2726-2016）</w:t>
      </w:r>
      <w:r>
        <w:rPr>
          <w:rFonts w:ascii="仿宋" w:eastAsia="仿宋" w:cs="仿宋" w:hint="eastAsia"/>
          <w:sz w:val="32"/>
          <w:szCs w:val="32"/>
          <w:lang w:eastAsia="zh-CN" w:bidi="ar-SA"/>
        </w:rPr>
        <w:t>及产品明示标准等标准要求。</w:t>
      </w:r>
    </w:p>
    <w:p>
      <w:pPr>
        <w:keepNext w:val="0"/>
        <w:keepLines w:val="0"/>
        <w:pageBreakBefore w:val="0"/>
        <w:widowControl/>
        <w:kinsoku/>
        <w:wordWrap/>
        <w:overflowPunct/>
        <w:topLinePunct w:val="0"/>
        <w:autoSpaceDE/>
        <w:autoSpaceDN/>
        <w:bidi w:val="0"/>
        <w:adjustRightInd/>
        <w:snapToGrid/>
        <w:spacing w:before="0" w:after="0" w:line="560" w:lineRule="exact"/>
        <w:ind w:left="0" w:right="0" w:firstLine="0"/>
        <w:jc w:val="left"/>
        <w:textAlignment w:val="auto"/>
        <w:outlineLvl w:val="9"/>
        <w:rPr>
          <w:rFonts w:ascii="楷体" w:eastAsia="楷体" w:cs="楷体" w:hint="eastAsia"/>
          <w:sz w:val="32"/>
          <w:szCs w:val="32"/>
          <w:lang w:bidi="ar-SA"/>
        </w:rPr>
      </w:pPr>
      <w:r>
        <w:rPr>
          <w:rFonts w:ascii="方正仿宋简体" w:eastAsia="方正仿宋简体" w:cs="仿宋_GB2312" w:hint="eastAsia"/>
          <w:sz w:val="32"/>
          <w:szCs w:val="32"/>
          <w:lang w:val="en-US" w:eastAsia="zh-CN" w:bidi="ar-SA"/>
        </w:rPr>
        <w:t xml:space="preserve">   </w:t>
      </w:r>
      <w:r>
        <w:rPr>
          <w:rFonts w:ascii="楷体" w:eastAsia="楷体" w:cs="楷体" w:hint="eastAsia"/>
          <w:sz w:val="32"/>
          <w:szCs w:val="32"/>
          <w:lang w:eastAsia="zh-CN" w:bidi="ar-SA"/>
        </w:rPr>
        <w:t>（二）</w:t>
      </w:r>
      <w:r>
        <w:rPr>
          <w:rFonts w:ascii="楷体" w:eastAsia="楷体" w:cs="楷体" w:hint="eastAsia"/>
          <w:sz w:val="32"/>
          <w:szCs w:val="32"/>
          <w:lang w:bidi="ar-SA"/>
        </w:rPr>
        <w:t>检验项目</w:t>
      </w:r>
    </w:p>
    <w:p>
      <w:pPr>
        <w:keepNext w:val="0"/>
        <w:keepLines w:val="0"/>
        <w:pageBreakBefore w:val="0"/>
        <w:widowControl/>
        <w:kinsoku/>
        <w:wordWrap/>
        <w:overflowPunct/>
        <w:topLinePunct w:val="0"/>
        <w:autoSpaceDE/>
        <w:autoSpaceDN/>
        <w:bidi w:val="0"/>
        <w:adjustRightInd/>
        <w:snapToGrid/>
        <w:spacing w:before="0" w:after="0" w:line="560" w:lineRule="exact"/>
        <w:ind w:right="0" w:firstLineChars="200" w:firstLine="640"/>
        <w:jc w:val="both"/>
        <w:textAlignment w:val="auto"/>
        <w:outlineLvl w:val="9"/>
        <w:rPr>
          <w:rFonts w:ascii="仿宋" w:eastAsia="仿宋" w:cs="仿宋" w:hint="eastAsia"/>
          <w:sz w:val="32"/>
          <w:szCs w:val="32"/>
          <w:lang w:val="en-US" w:eastAsia="zh-CN" w:bidi="ar-SA"/>
        </w:rPr>
      </w:pPr>
      <w:r>
        <w:rPr>
          <w:rFonts w:ascii="仿宋" w:cs="仿宋" w:hint="eastAsia"/>
          <w:sz w:val="32"/>
          <w:szCs w:val="32"/>
          <w:lang w:val="en-US" w:eastAsia="zh-CN" w:bidi="ar-SA"/>
        </w:rPr>
        <w:t>1.</w:t>
      </w:r>
      <w:r>
        <w:rPr>
          <w:rFonts w:ascii="仿宋" w:eastAsia="仿宋" w:cs="仿宋" w:hint="eastAsia"/>
          <w:sz w:val="32"/>
          <w:szCs w:val="32"/>
          <w:lang w:val="en-US" w:eastAsia="zh-CN" w:bidi="ar-SA"/>
        </w:rPr>
        <w:t>酱卤肉制品检验项目包括铅（以Pb计）、镉（以Cd计）、铬（以Cr计）、总砷（以As计）、氯霉素、酸性橙II、亚硝酸盐（以亚硝酸钠计）、苯</w:t>
      </w:r>
      <w:r>
        <w:rPr>
          <w:rFonts w:ascii="仿宋" w:eastAsia="仿宋" w:cs="仿宋" w:hint="eastAsia"/>
          <w:sz w:val="32"/>
          <w:szCs w:val="32"/>
          <w:lang w:eastAsia="zh-CN" w:bidi="ar-SA"/>
        </w:rPr>
        <w:t>甲酸及其钠盐（以苯甲酸计）、山梨酸及其钾盐（以山梨酸计）、脱氢乙酸及其钠盐（以脱氢乙酸计）、胭脂红、</w:t>
      </w:r>
      <w:r>
        <w:rPr>
          <w:rFonts w:ascii="仿宋" w:eastAsia="仿宋" w:cs="仿宋" w:hint="eastAsia"/>
          <w:sz w:val="32"/>
          <w:szCs w:val="32"/>
          <w:lang w:val="en-US" w:eastAsia="zh-CN" w:bidi="ar-SA"/>
        </w:rPr>
        <w:t>糖精钠（以糖精计）、菌落总数、大肠菌群、沙门氏菌、金黄色葡萄球菌、单核细胞增生李斯特氏菌、大肠埃希氏菌O157：H7。</w:t>
      </w:r>
    </w:p>
    <w:p>
      <w:pPr>
        <w:keepNext w:val="0"/>
        <w:keepLines w:val="0"/>
        <w:pageBreakBefore w:val="0"/>
        <w:widowControl/>
        <w:kinsoku/>
        <w:wordWrap/>
        <w:overflowPunct/>
        <w:topLinePunct w:val="0"/>
        <w:autoSpaceDE/>
        <w:autoSpaceDN/>
        <w:adjustRightInd/>
        <w:snapToGrid/>
        <w:spacing w:line="560" w:lineRule="exact"/>
        <w:ind w:firstLineChars="200" w:firstLine="640"/>
        <w:jc w:val="both"/>
        <w:rPr>
          <w:rFonts w:ascii="仿宋" w:eastAsia="仿宋" w:cs="仿宋" w:hint="eastAsia"/>
          <w:sz w:val="32"/>
          <w:szCs w:val="32"/>
          <w:lang w:val="en-US" w:eastAsia="zh-CN" w:bidi="ar-SA"/>
        </w:rPr>
      </w:pPr>
      <w:r>
        <w:rPr>
          <w:rFonts w:ascii="仿宋" w:cs="仿宋" w:hint="eastAsia"/>
          <w:sz w:val="32"/>
          <w:szCs w:val="32"/>
          <w:lang w:val="en-US" w:eastAsia="zh-CN" w:bidi="ar-SA"/>
        </w:rPr>
        <w:t>2.</w:t>
      </w:r>
      <w:r>
        <w:rPr>
          <w:rFonts w:ascii="仿宋" w:eastAsia="仿宋" w:cs="仿宋" w:hint="eastAsia"/>
          <w:sz w:val="32"/>
          <w:szCs w:val="32"/>
          <w:lang w:val="en-US" w:eastAsia="zh-CN" w:bidi="ar-SA"/>
        </w:rPr>
        <w:t>熟肉干制品检验项目包括铅（以Pb计）、镉（以Cd计）、铬（以Cr计）、氯霉素、苯</w:t>
      </w:r>
      <w:r>
        <w:rPr>
          <w:rFonts w:ascii="仿宋" w:eastAsia="仿宋" w:cs="仿宋" w:hint="eastAsia"/>
          <w:sz w:val="32"/>
          <w:szCs w:val="32"/>
          <w:lang w:eastAsia="zh-CN" w:bidi="ar-SA"/>
        </w:rPr>
        <w:t>甲酸及其钠盐（以苯甲酸计）、山梨酸及其钾盐（以山梨酸计）、脱氢乙酸及其钠盐（以脱氢乙酸计）、胭脂红、</w:t>
      </w:r>
      <w:r>
        <w:rPr>
          <w:rFonts w:ascii="仿宋" w:eastAsia="仿宋" w:cs="仿宋" w:hint="eastAsia"/>
          <w:sz w:val="32"/>
          <w:szCs w:val="32"/>
          <w:lang w:val="en-US" w:eastAsia="zh-CN" w:bidi="ar-SA"/>
        </w:rPr>
        <w:t>菌落总数、大肠菌群、沙门氏菌、金黄色葡萄球菌、单核细胞增生李斯特氏菌、大肠埃希氏菌O157：H7。</w:t>
      </w:r>
    </w:p>
    <w:p>
      <w:pPr>
        <w:keepNext w:val="0"/>
        <w:keepLines w:val="0"/>
        <w:pageBreakBefore w:val="0"/>
        <w:widowControl/>
        <w:kinsoku/>
        <w:wordWrap/>
        <w:overflowPunct/>
        <w:topLinePunct w:val="0"/>
        <w:autoSpaceDE/>
        <w:autoSpaceDN/>
        <w:bidi w:val="0"/>
        <w:adjustRightInd/>
        <w:snapToGrid/>
        <w:spacing w:before="0" w:after="0" w:line="560" w:lineRule="exact"/>
        <w:ind w:left="0" w:right="0" w:firstLineChars="200" w:firstLine="640"/>
        <w:jc w:val="both"/>
        <w:textAlignment w:val="auto"/>
        <w:outlineLvl w:val="9"/>
      </w:pPr>
      <w:r>
        <w:rPr>
          <w:rFonts w:ascii="黑体" w:eastAsia="黑体" w:cs="黑体"/>
          <w:sz w:val="32"/>
          <w:szCs w:val="32"/>
          <w:lang w:val="en-US" w:eastAsia="zh-CN" w:bidi="ar-SA"/>
        </w:rPr>
        <w:t>四</w:t>
      </w:r>
      <w:r>
        <w:rPr>
          <w:rFonts w:ascii="黑体" w:eastAsia="黑体" w:cs="黑体" w:hint="eastAsia"/>
          <w:sz w:val="32"/>
          <w:szCs w:val="32"/>
          <w:lang w:val="en-US" w:eastAsia="zh-CN" w:bidi="ar-SA"/>
        </w:rPr>
        <w:t>、糕点</w:t>
      </w:r>
    </w:p>
    <w:p>
      <w:pPr>
        <w:keepNext w:val="0"/>
        <w:keepLines w:val="0"/>
        <w:pageBreakBefore w:val="0"/>
        <w:widowControl/>
        <w:kinsoku/>
        <w:wordWrap/>
        <w:overflowPunct/>
        <w:topLinePunct w:val="0"/>
        <w:autoSpaceDE/>
        <w:autoSpaceDN/>
        <w:bidi w:val="0"/>
        <w:adjustRightInd/>
        <w:snapToGrid/>
        <w:spacing w:before="0" w:after="0" w:line="560" w:lineRule="exact"/>
        <w:ind w:right="0" w:firstLineChars="100" w:firstLine="320"/>
        <w:jc w:val="both"/>
        <w:textAlignment w:val="auto"/>
        <w:outlineLvl w:val="9"/>
      </w:pPr>
      <w:r>
        <w:rPr>
          <w:rFonts w:ascii="楷体" w:eastAsia="楷体" w:cs="楷体" w:hint="eastAsia"/>
          <w:sz w:val="32"/>
          <w:szCs w:val="32"/>
          <w:lang w:val="en-US" w:eastAsia="zh-CN" w:bidi="ar-SA"/>
        </w:rPr>
        <w:t>（一）抽检依据</w:t>
      </w:r>
    </w:p>
    <w:p>
      <w:pPr>
        <w:keepNext w:val="0"/>
        <w:keepLines w:val="0"/>
        <w:pageBreakBefore w:val="0"/>
        <w:widowControl/>
        <w:kinsoku/>
        <w:wordWrap/>
        <w:overflowPunct/>
        <w:topLinePunct w:val="0"/>
        <w:autoSpaceDE/>
        <w:autoSpaceDN/>
        <w:bidi w:val="0"/>
        <w:adjustRightInd/>
        <w:snapToGrid/>
        <w:spacing w:before="0" w:after="0" w:line="560" w:lineRule="exact"/>
        <w:ind w:right="0" w:firstLineChars="200" w:firstLine="640"/>
        <w:jc w:val="both"/>
        <w:textAlignment w:val="auto"/>
        <w:outlineLvl w:val="9"/>
      </w:pPr>
      <w:r>
        <w:rPr>
          <w:rFonts w:ascii="仿宋" w:eastAsia="仿宋" w:cs="仿宋" w:hint="eastAsia"/>
          <w:sz w:val="32"/>
          <w:szCs w:val="32"/>
          <w:lang w:val="en-US" w:eastAsia="zh-CN" w:bidi="ar-SA"/>
        </w:rPr>
        <w:t>抽检依据《食品安全国家标准 糕点、面包》（GB7099-2015）、《食品安全国家标准 食品中污染物限量（含第1号修改单）》（GB2762-2017）、食品整治办（2009）5号 全国打击违法添加非食用物质和滥用食品添加剂专项整治领导小组关于印发《食品中可能违法添加的非食用物质名单（第二批）》的通知、《食品安全国家标准 食品添加剂使用标准》（GB2760-2014）、《食品安全国家标准 食品中致病菌限量》《GB29921-2013》及产品明示标准等标准要求。</w:t>
      </w:r>
    </w:p>
    <w:p>
      <w:pPr>
        <w:keepNext w:val="0"/>
        <w:keepLines w:val="0"/>
        <w:pageBreakBefore w:val="0"/>
        <w:widowControl/>
        <w:kinsoku/>
        <w:wordWrap/>
        <w:overflowPunct/>
        <w:topLinePunct w:val="0"/>
        <w:autoSpaceDE/>
        <w:autoSpaceDN/>
        <w:bidi w:val="0"/>
        <w:adjustRightInd/>
        <w:snapToGrid/>
        <w:spacing w:before="0" w:after="0" w:line="560" w:lineRule="exact"/>
        <w:ind w:left="0" w:right="0" w:firstLineChars="150" w:firstLine="480"/>
        <w:jc w:val="both"/>
        <w:textAlignment w:val="auto"/>
        <w:outlineLvl w:val="9"/>
      </w:pPr>
      <w:r>
        <w:rPr>
          <w:rFonts w:ascii="楷体" w:eastAsia="楷体" w:cs="楷体" w:hint="eastAsia"/>
          <w:sz w:val="32"/>
          <w:szCs w:val="32"/>
          <w:lang w:val="en-US" w:eastAsia="zh-CN" w:bidi="ar-SA"/>
        </w:rPr>
        <w:t>（二）检验项目</w:t>
      </w:r>
    </w:p>
    <w:p>
      <w:pPr>
        <w:keepNext w:val="0"/>
        <w:keepLines w:val="0"/>
        <w:pageBreakBefore w:val="0"/>
        <w:widowControl/>
        <w:kinsoku/>
        <w:wordWrap/>
        <w:overflowPunct/>
        <w:topLinePunct w:val="0"/>
        <w:autoSpaceDE/>
        <w:autoSpaceDN/>
        <w:adjustRightInd/>
        <w:snapToGrid/>
        <w:spacing w:line="560" w:lineRule="exact"/>
        <w:ind w:firstLineChars="200" w:firstLine="640"/>
        <w:jc w:val="both"/>
        <w:rPr>
          <w:rFonts w:ascii="仿宋" w:eastAsia="仿宋" w:cs="仿宋" w:hint="eastAsia"/>
          <w:sz w:val="32"/>
          <w:szCs w:val="32"/>
          <w:lang w:val="en-US" w:eastAsia="zh-CN" w:bidi="ar-SA"/>
        </w:rPr>
      </w:pPr>
      <w:r>
        <w:rPr>
          <w:rFonts w:ascii="仿宋" w:eastAsia="仿宋" w:cs="仿宋" w:hint="eastAsia"/>
          <w:sz w:val="32"/>
          <w:szCs w:val="32"/>
          <w:lang w:val="en-US" w:eastAsia="zh-CN" w:bidi="ar-SA"/>
        </w:rPr>
        <w:t>糕点检验项目包括酸价、过氧化值、铅（以Pb计）、富马酸二甲酯、苯甲酸及其钠盐（以苯甲酸计）、山梨酸及其钾盐（以山梨酸计）、糖精钠（以糖精计）、甜蜜素(以环己基氨基磺酸计)、安赛蜜、铝的残留量（干样计，以Al计）、丙酸及其钠盐、钙盐、脱氢乙酸及其钠盐（以脱氢乙酸计）、纳他霉素、三氯蔗糖、丙二醇、菌落总数、大肠菌群、沙门氏菌、金黄色葡萄球菌、霉菌。</w:t>
      </w:r>
    </w:p>
    <w:p>
      <w:pPr>
        <w:keepNext w:val="0"/>
        <w:keepLines w:val="0"/>
        <w:pageBreakBefore w:val="0"/>
        <w:widowControl/>
        <w:kinsoku/>
        <w:wordWrap/>
        <w:overflowPunct/>
        <w:topLinePunct w:val="0"/>
        <w:autoSpaceDE/>
        <w:autoSpaceDN/>
        <w:bidi w:val="0"/>
        <w:adjustRightInd/>
        <w:snapToGrid/>
        <w:spacing w:before="0" w:after="0" w:line="560" w:lineRule="exact"/>
        <w:ind w:right="0" w:firstLineChars="200" w:firstLine="640"/>
        <w:jc w:val="both"/>
        <w:textAlignment w:val="auto"/>
        <w:outlineLvl w:val="9"/>
        <w:rPr>
          <w:rFonts w:ascii="黑体" w:eastAsia="黑体" w:cs="黑体" w:hint="eastAsia"/>
          <w:sz w:val="32"/>
          <w:szCs w:val="32"/>
          <w:lang w:val="en-US" w:eastAsia="zh-CN" w:bidi="ar-SA"/>
        </w:rPr>
      </w:pPr>
      <w:r>
        <w:rPr>
          <w:rFonts w:ascii="黑体" w:eastAsia="黑体" w:cs="黑体"/>
          <w:sz w:val="32"/>
          <w:szCs w:val="32"/>
          <w:lang w:val="en-US" w:eastAsia="zh-CN" w:bidi="ar-SA"/>
        </w:rPr>
        <w:t>五</w:t>
      </w:r>
      <w:bookmarkStart w:id="0" w:name="_GoBack"/>
      <w:bookmarkEnd w:id="0"/>
      <w:r>
        <w:rPr>
          <w:rFonts w:ascii="黑体" w:eastAsia="黑体" w:cs="黑体" w:hint="eastAsia"/>
          <w:sz w:val="32"/>
          <w:szCs w:val="32"/>
          <w:lang w:val="en-US" w:eastAsia="zh-CN" w:bidi="ar-SA"/>
        </w:rPr>
        <w:t>、粮食加工品</w:t>
      </w:r>
    </w:p>
    <w:p>
      <w:pPr>
        <w:keepNext w:val="0"/>
        <w:keepLines w:val="0"/>
        <w:pageBreakBefore w:val="0"/>
        <w:widowControl/>
        <w:kinsoku/>
        <w:wordWrap/>
        <w:overflowPunct/>
        <w:topLinePunct w:val="0"/>
        <w:autoSpaceDE/>
        <w:autoSpaceDN/>
        <w:bidi w:val="0"/>
        <w:adjustRightInd/>
        <w:snapToGrid/>
        <w:spacing w:before="0" w:after="0" w:line="560" w:lineRule="exact"/>
        <w:ind w:right="0"/>
        <w:jc w:val="both"/>
        <w:textAlignment w:val="auto"/>
        <w:outlineLvl w:val="9"/>
        <w:rPr>
          <w:rFonts w:ascii="方正楷体简体" w:eastAsia="方正楷体简体" w:cs="仿宋_GB2312" w:hint="eastAsia"/>
          <w:sz w:val="32"/>
          <w:szCs w:val="32"/>
          <w:lang w:bidi="ar-SA"/>
        </w:rPr>
      </w:pPr>
      <w:r>
        <w:rPr>
          <w:rFonts w:ascii="方正仿宋简体" w:eastAsia="方正仿宋简体" w:cs="仿宋_GB2312" w:hint="eastAsia"/>
          <w:sz w:val="32"/>
          <w:szCs w:val="32"/>
          <w:lang w:val="en-US" w:eastAsia="zh-CN" w:bidi="ar-SA"/>
        </w:rPr>
        <w:t xml:space="preserve">   </w:t>
      </w:r>
      <w:r>
        <w:rPr>
          <w:rFonts w:ascii="楷体" w:eastAsia="楷体" w:cs="楷体" w:hint="eastAsia"/>
          <w:sz w:val="32"/>
          <w:szCs w:val="32"/>
          <w:lang w:bidi="ar-SA"/>
        </w:rPr>
        <w:t>（一）抽检依据</w:t>
      </w:r>
    </w:p>
    <w:p>
      <w:pPr>
        <w:keepNext w:val="0"/>
        <w:keepLines w:val="0"/>
        <w:pageBreakBefore w:val="0"/>
        <w:widowControl/>
        <w:kinsoku/>
        <w:wordWrap/>
        <w:overflowPunct/>
        <w:topLinePunct w:val="0"/>
        <w:autoSpaceDE/>
        <w:autoSpaceDN/>
        <w:bidi w:val="0"/>
        <w:adjustRightInd/>
        <w:snapToGrid/>
        <w:spacing w:before="0" w:after="0" w:line="560" w:lineRule="exact"/>
        <w:ind w:right="0" w:firstLineChars="200" w:firstLine="640"/>
        <w:jc w:val="both"/>
        <w:textAlignment w:val="auto"/>
        <w:outlineLvl w:val="9"/>
        <w:rPr>
          <w:rFonts w:ascii="仿宋" w:eastAsia="仿宋" w:cs="仿宋" w:hint="eastAsia"/>
          <w:sz w:val="32"/>
          <w:szCs w:val="32"/>
          <w:lang w:eastAsia="zh-CN" w:bidi="ar-SA"/>
        </w:rPr>
      </w:pPr>
      <w:r>
        <w:rPr>
          <w:rFonts w:ascii="仿宋" w:eastAsia="仿宋" w:cs="仿宋" w:hint="eastAsia"/>
          <w:sz w:val="32"/>
          <w:szCs w:val="32"/>
          <w:lang w:eastAsia="zh-CN" w:bidi="ar-SA"/>
        </w:rPr>
        <w:t>抽检依据《食品安全国家标准 食品添加剂使用标准》（GB 2760-2014）、《食品安全国家标准 食品中真菌毒素限量》（GB 276</w:t>
      </w:r>
      <w:r>
        <w:rPr>
          <w:rFonts w:ascii="仿宋" w:eastAsia="仿宋" w:cs="仿宋" w:hint="eastAsia"/>
          <w:sz w:val="32"/>
          <w:szCs w:val="32"/>
          <w:lang w:val="en-US" w:eastAsia="zh-CN" w:bidi="ar-SA"/>
        </w:rPr>
        <w:t>1</w:t>
      </w:r>
      <w:r>
        <w:rPr>
          <w:rFonts w:ascii="仿宋" w:eastAsia="仿宋" w:cs="仿宋" w:hint="eastAsia"/>
          <w:sz w:val="32"/>
          <w:szCs w:val="32"/>
          <w:lang w:eastAsia="zh-CN" w:bidi="ar-SA"/>
        </w:rPr>
        <w:t>-201</w:t>
      </w:r>
      <w:r>
        <w:rPr>
          <w:rFonts w:ascii="仿宋" w:eastAsia="仿宋" w:cs="仿宋" w:hint="eastAsia"/>
          <w:sz w:val="32"/>
          <w:szCs w:val="32"/>
          <w:lang w:val="en-US" w:eastAsia="zh-CN" w:bidi="ar-SA"/>
        </w:rPr>
        <w:t>7</w:t>
      </w:r>
      <w:r>
        <w:rPr>
          <w:rFonts w:ascii="仿宋" w:eastAsia="仿宋" w:cs="仿宋" w:hint="eastAsia"/>
          <w:sz w:val="32"/>
          <w:szCs w:val="32"/>
          <w:lang w:eastAsia="zh-CN" w:bidi="ar-SA"/>
        </w:rPr>
        <w:t>）及产品明示标准等标准要求。</w:t>
      </w:r>
    </w:p>
    <w:p>
      <w:pPr>
        <w:keepNext w:val="0"/>
        <w:keepLines w:val="0"/>
        <w:pageBreakBefore w:val="0"/>
        <w:widowControl/>
        <w:kinsoku/>
        <w:wordWrap/>
        <w:overflowPunct/>
        <w:topLinePunct w:val="0"/>
        <w:autoSpaceDE/>
        <w:autoSpaceDN/>
        <w:bidi w:val="0"/>
        <w:adjustRightInd/>
        <w:snapToGrid/>
        <w:spacing w:before="0" w:after="0" w:line="560" w:lineRule="exact"/>
        <w:ind w:left="0" w:right="0" w:firstLine="0"/>
        <w:jc w:val="left"/>
        <w:textAlignment w:val="auto"/>
        <w:outlineLvl w:val="9"/>
        <w:rPr>
          <w:rFonts w:ascii="仿宋" w:eastAsia="仿宋" w:cs="仿宋" w:hint="eastAsia"/>
          <w:sz w:val="32"/>
          <w:szCs w:val="32"/>
          <w:lang w:val="en-US" w:eastAsia="zh-CN" w:bidi="ar-SA"/>
        </w:rPr>
      </w:pPr>
      <w:r>
        <w:rPr>
          <w:rFonts w:ascii="方正仿宋简体" w:eastAsia="方正仿宋简体" w:cs="仿宋_GB2312" w:hint="eastAsia"/>
          <w:sz w:val="32"/>
          <w:szCs w:val="32"/>
          <w:lang w:val="en-US" w:eastAsia="zh-CN" w:bidi="ar-SA"/>
        </w:rPr>
        <w:t xml:space="preserve">  </w:t>
      </w:r>
      <w:r>
        <w:rPr>
          <w:rFonts w:ascii="方正楷体简体" w:eastAsia="方正楷体简体" w:cs="仿宋_GB2312" w:hint="eastAsia"/>
          <w:sz w:val="32"/>
          <w:szCs w:val="32"/>
          <w:lang w:val="en-US" w:eastAsia="zh-CN" w:bidi="ar-SA"/>
        </w:rPr>
        <w:t xml:space="preserve"> </w:t>
      </w:r>
      <w:r>
        <w:rPr>
          <w:rFonts w:ascii="楷体" w:eastAsia="楷体" w:cs="楷体" w:hint="eastAsia"/>
          <w:sz w:val="32"/>
          <w:szCs w:val="32"/>
          <w:lang w:eastAsia="zh-CN" w:bidi="ar-SA"/>
        </w:rPr>
        <w:t>（二）</w:t>
      </w:r>
      <w:r>
        <w:rPr>
          <w:rFonts w:ascii="楷体" w:eastAsia="楷体" w:cs="楷体" w:hint="eastAsia"/>
          <w:sz w:val="32"/>
          <w:szCs w:val="32"/>
          <w:lang w:bidi="ar-SA"/>
        </w:rPr>
        <w:t>检验项目</w:t>
      </w:r>
    </w:p>
    <w:p>
      <w:pPr>
        <w:keepNext w:val="0"/>
        <w:keepLines w:val="0"/>
        <w:pageBreakBefore w:val="0"/>
        <w:widowControl/>
        <w:kinsoku/>
        <w:wordWrap/>
        <w:overflowPunct/>
        <w:topLinePunct w:val="0"/>
        <w:autoSpaceDE/>
        <w:autoSpaceDN/>
        <w:bidi w:val="0"/>
        <w:adjustRightInd/>
        <w:snapToGrid/>
        <w:spacing w:before="0" w:after="0" w:line="560" w:lineRule="exact"/>
        <w:ind w:right="0" w:firstLineChars="200" w:firstLine="640"/>
        <w:jc w:val="both"/>
        <w:textAlignment w:val="auto"/>
        <w:outlineLvl w:val="9"/>
        <w:rPr>
          <w:rFonts w:ascii="仿宋" w:eastAsia="仿宋" w:cs="仿宋" w:hint="eastAsia"/>
          <w:sz w:val="32"/>
          <w:szCs w:val="32"/>
          <w:lang w:val="en-US" w:eastAsia="zh-CN" w:bidi="ar-SA"/>
        </w:rPr>
      </w:pPr>
      <w:r>
        <w:rPr>
          <w:rFonts w:ascii="仿宋" w:eastAsia="仿宋" w:cs="仿宋" w:hint="eastAsia"/>
          <w:sz w:val="32"/>
          <w:szCs w:val="32"/>
          <w:lang w:val="en-US" w:eastAsia="zh-CN" w:bidi="ar-SA"/>
        </w:rPr>
        <w:t>其他谷物粉类制成品检验项目包括</w:t>
      </w:r>
      <w:r>
        <w:rPr>
          <w:rFonts w:ascii="仿宋" w:eastAsia="仿宋" w:cs="仿宋" w:hint="eastAsia"/>
          <w:sz w:val="32"/>
          <w:szCs w:val="32"/>
          <w:lang w:val="en-US" w:eastAsia="zh-CN" w:bidi="ar-SA"/>
        </w:rPr>
        <w:t>黄曲霉毒素B1</w:t>
      </w:r>
      <w:r>
        <w:rPr>
          <w:rFonts w:ascii="仿宋" w:eastAsia="仿宋" w:cs="仿宋" w:hint="eastAsia"/>
          <w:sz w:val="32"/>
          <w:szCs w:val="32"/>
          <w:lang w:val="en-US" w:eastAsia="zh-CN" w:bidi="ar-SA"/>
        </w:rPr>
        <w:t>、苯甲酸及其钠盐（以苯甲酸计）、山梨酸及其钾盐（以山梨酸计）、脱氢乙酸及其钠盐（以脱氢乙酸计）、菌落总数、大肠菌群</w:t>
      </w:r>
      <w:r>
        <w:rPr>
          <w:rFonts w:ascii="仿宋" w:eastAsia="仿宋" w:cs="仿宋" w:hint="eastAsia"/>
          <w:sz w:val="32"/>
          <w:szCs w:val="32"/>
          <w:lang w:val="en-US" w:eastAsia="zh-CN" w:bidi="ar-SA"/>
        </w:rPr>
        <w:t>。</w:t>
      </w:r>
    </w:p>
    <w:p>
      <w:pPr>
        <w:keepNext w:val="0"/>
        <w:keepLines w:val="0"/>
        <w:pageBreakBefore w:val="0"/>
        <w:widowControl/>
        <w:kinsoku/>
        <w:wordWrap/>
        <w:overflowPunct/>
        <w:topLinePunct w:val="0"/>
        <w:autoSpaceDE/>
        <w:autoSpaceDN/>
        <w:bidi w:val="0"/>
        <w:adjustRightInd/>
        <w:snapToGrid/>
        <w:spacing w:before="0" w:after="0" w:line="560" w:lineRule="exact"/>
        <w:ind w:left="0" w:right="0" w:firstLine="0"/>
        <w:jc w:val="both"/>
        <w:textAlignment w:val="auto"/>
        <w:outlineLvl w:val="9"/>
        <w:rPr>
          <w:rFonts w:ascii="仿宋" w:eastAsia="仿宋" w:cs="仿宋" w:hint="eastAsia"/>
          <w:sz w:val="32"/>
          <w:szCs w:val="32"/>
          <w:lang w:val="en-US" w:eastAsia="zh-CN" w:bidi="ar-SA"/>
        </w:rPr>
      </w:pPr>
    </w:p>
    <w:p>
      <w:pPr>
        <w:pStyle w:val="15"/>
        <w:spacing w:line="560" w:lineRule="exact"/>
      </w:pPr>
    </w:p>
    <w:sectPr>
      <w:pgSz w:w="11906" w:h="16838"/>
      <w:pgMar w:top="1440" w:right="1800" w:bottom="1440" w:left="1800"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黑体">
    <w:panose1 w:val="02010609060101010101"/>
    <w:charset w:val="86"/>
    <w:family w:val="auto"/>
    <w:pitch w:val="variable"/>
    <w:sig w:usb0="800002BF" w:usb1="38CF7CFA" w:usb2="00000016" w:usb3="00000000" w:csb0="00040001" w:csb1="00000000"/>
  </w:font>
  <w:font w:name="仿宋_GB2312">
    <w:altName w:val="仿宋"/>
    <w:panose1 w:val="02010609030101010101"/>
    <w:charset w:val="86"/>
    <w:family w:val="modern"/>
    <w:pitch w:val="variable"/>
    <w:sig w:usb0="00000000" w:usb1="00000000" w:usb2="00000010" w:usb3="00000000" w:csb0="00040000" w:csb1="00000000"/>
  </w:font>
  <w:font w:name="方正小标宋简体">
    <w:altName w:val="黑体"/>
    <w:panose1 w:val="02010601030101010101"/>
    <w:charset w:val="86"/>
    <w:family w:val="auto"/>
    <w:pitch w:val="variable"/>
    <w:sig w:usb0="00000000" w:usb1="00000000" w:usb2="00000010" w:usb3="00000000" w:csb0="00040000" w:csb1="00000000"/>
  </w:font>
  <w:font w:name="新宋体">
    <w:panose1 w:val="02010609030101010101"/>
    <w:charset w:val="86"/>
    <w:family w:val="modern"/>
    <w:pitch w:val="variable"/>
    <w:sig w:usb0="00000283" w:usb1="288F0000" w:usb2="00000006" w:usb3="00000000" w:csb0="00040001" w:csb1="00000000"/>
  </w:font>
  <w:font w:name="仿宋">
    <w:panose1 w:val="02010609060101010101"/>
    <w:charset w:val="86"/>
    <w:family w:val="modern"/>
    <w:pitch w:val="variable"/>
    <w:sig w:usb0="800002BF" w:usb1="38CF7CFA" w:usb2="00000016" w:usb3="00000000" w:csb0="00040001" w:csb1="00000000"/>
  </w:font>
  <w:font w:name="方正仿宋简体">
    <w:panose1 w:val="02000000000000000000"/>
    <w:charset w:val="86"/>
    <w:family w:val="script"/>
    <w:pitch w:val="variable"/>
    <w:sig w:usb0="A00002BF" w:usb1="184F6CFA" w:usb2="00000012" w:usb3="00000000" w:csb0="00040001" w:csb1="00000000"/>
  </w:font>
  <w:font w:name="楷体">
    <w:panose1 w:val="02010609060101010101"/>
    <w:charset w:val="86"/>
    <w:family w:val="auto"/>
    <w:pitch w:val="variable"/>
    <w:sig w:usb0="800002BF" w:usb1="38CF7CFA" w:usb2="00000016" w:usb3="00000000" w:csb0="00040001" w:csb1="00000000"/>
  </w:font>
  <w:font w:name="方正楷体简体">
    <w:panose1 w:val="02000000000000000000"/>
    <w:charset w:val="86"/>
    <w:family w:val="script"/>
    <w:pitch w:val="variable"/>
    <w:sig w:usb0="A00002BF" w:usb1="184F6CFA" w:usb2="00000012" w:usb3="00000000" w:csb0="00040001" w:csb1="00000000"/>
  </w:font>
  <w:font w:name="Times New Roman">
    <w:panose1 w:val="02020603050405020304"/>
    <w:charset w:val="CC"/>
    <w:family w:val="roman"/>
    <w:pitch w:val="variable"/>
    <w:sig w:usb0="E0002EFF" w:usb1="C000785B" w:usb2="00000009" w:usb3="00000000" w:csb0="400001FF" w:csb1="FFFF0000"/>
  </w:font>
  <w:font w:name="宋体">
    <w:panose1 w:val="02010600030101010101"/>
    <w:charset w:val="7A"/>
    <w:family w:val="auto"/>
    <w:pitch w:val="variable"/>
    <w:sig w:usb0="00000003" w:usb1="288F0000" w:usb2="00000006" w:usb3="00000000" w:csb0="00040001" w:csb1="00000000"/>
  </w:font>
</w:fonts>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236BBDAC"/>
    <w:multiLevelType w:val="singleLevel"/>
    <w:tmpl w:val="236BBDAC"/>
    <w:lvl w:ilvl="0">
      <w:start w:val="2"/>
      <w:numFmt w:val="chineseCounting"/>
      <w:lvlRestart w:val="0"/>
      <w:suff w:val="nothing"/>
      <w:lvlText w:val="（%1）"/>
      <w:lvlJc w:val="left"/>
      <w:pPr>
        <w:ind w:left="0" w:hanging="0"/>
      </w:pPr>
      <w:rPr>
        <w:rFonts w:hint="eastAsia"/>
      </w:rPr>
    </w:lvl>
  </w:abstractNum>
  <w:num w:numId="1">
    <w:abstractNumId w:val="0"/>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val="0"/>
  <w:bordersDoNotSurroundFooter w:val="0"/>
  <w:documentProtection w:edit="readOnly" w:enforcement="0"/>
  <w:defaultTabStop w:val="420"/>
  <w:drawingGridHorizontalSpacing w:val="160"/>
  <w:drawingGridVerticalSpacing w:val="156"/>
  <w:displayHorizontalDrawingGridEvery w:val="1"/>
  <w:displayVerticalDrawingGridEvery w:val="1"/>
  <w:noPunctuationKerning/>
  <w:characterSpacingControl w:val="compressPunctuation"/>
  <w:compat>
    <w:spaceForUL/>
    <w:balanceSingleByteDoubleByteWidth/>
    <w:ulTrailSpace/>
    <w:doNotExpandShiftReturn/>
    <w:adjustLineHeightInTable/>
    <w:doNotUseIndentAsNumberingTabStop/>
    <w:useAltKinsokuLineBreakRules/>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next w:val="15"/>
    <w:rPr>
      <w:rFonts w:ascii="Times New Roman" w:eastAsia="仿宋" w:cs="Times New Roman" w:hAnsi="Times New Roman"/>
      <w:sz w:val="32"/>
      <w:szCs w:val="24"/>
      <w:lang w:val="en-US" w:eastAsia="zh-CN" w:bidi="ar-SA"/>
    </w:rPr>
  </w:style>
  <w:style w:type="paragraph" w:styleId="1">
    <w:name w:val="heading 1"/>
    <w:basedOn w:val="0"/>
    <w:next w:val="0"/>
    <w:pPr>
      <w:keepNext/>
      <w:keepLines/>
      <w:spacing w:before="340" w:after="330" w:line="578" w:lineRule="auto"/>
      <w:outlineLvl w:val="0"/>
    </w:pPr>
    <w:rPr>
      <w:b/>
      <w:bCs/>
      <w:kern w:val="44"/>
      <w:sz w:val="44"/>
    </w:rPr>
  </w:style>
  <w:style w:type="paragraph" w:styleId="2">
    <w:name w:val="heading 2"/>
    <w:basedOn w:val="0"/>
    <w:next w:val="0"/>
    <w:pPr>
      <w:keepNext/>
      <w:keepLines/>
      <w:spacing w:before="260" w:after="260" w:line="415" w:lineRule="auto"/>
      <w:outlineLvl w:val="1"/>
    </w:pPr>
    <w:rPr>
      <w:rFonts w:ascii="Times New Roman" w:eastAsia="黑体" w:hAnsi="Times New Roman"/>
      <w:b/>
      <w:sz w:val="32"/>
    </w:rPr>
  </w:style>
  <w:style w:type="paragraph" w:styleId="3">
    <w:name w:val="heading 3"/>
    <w:basedOn w:val="0"/>
    <w:next w:val="0"/>
    <w:pPr>
      <w:keepNext/>
      <w:keepLines/>
      <w:spacing w:before="260" w:after="260" w:line="415" w:lineRule="auto"/>
      <w:outlineLvl w:val="2"/>
    </w:pPr>
    <w:rPr>
      <w:b/>
      <w:sz w:val="32"/>
    </w:rPr>
  </w:style>
  <w:style w:type="character" w:default="1" w:styleId="10">
    <w:name w:val="Default Paragraph Font"/>
  </w:style>
  <w:style w:type="paragraph" w:styleId="15">
    <w:name w:val="Body Text"/>
    <w:basedOn w:val="0"/>
    <w:pPr>
      <w:spacing w:after="120"/>
    </w:pPr>
  </w:style>
  <w:style w:type="paragraph" w:styleId="16">
    <w:name w:val="footer"/>
    <w:basedOn w:val="0"/>
    <w:pPr>
      <w:tabs>
        <w:tab w:val="center" w:pos="4153"/>
        <w:tab w:val="right" w:pos="8306"/>
      </w:tabs>
      <w:snapToGrid w:val="0"/>
    </w:pPr>
    <w:rPr>
      <w:sz w:val="18"/>
      <w:szCs w:val="18"/>
    </w:rPr>
  </w:style>
  <w:style w:type="paragraph" w:styleId="17">
    <w:name w:val="header"/>
    <w:basedOn w:val="0"/>
    <w:pPr>
      <w:pBdr>
        <w:bottom w:val="single" w:sz="6" w:space="1" w:color="auto"/>
      </w:pBdr>
      <w:tabs>
        <w:tab w:val="center" w:pos="4153"/>
        <w:tab w:val="right" w:pos="8306"/>
      </w:tabs>
      <w:snapToGrid w:val="0"/>
      <w:jc w:val="center"/>
    </w:pPr>
    <w:rPr>
      <w:sz w:val="18"/>
      <w:szCs w:val="18"/>
    </w:rPr>
  </w:style>
  <w:style w:type="character" w:styleId="18">
    <w:name w:val="FollowedHyperlink"/>
    <w:basedOn w:val="10"/>
    <w:rPr>
      <w:color w:val="1E90FF"/>
      <w:u w:val="none"/>
    </w:rPr>
  </w:style>
  <w:style w:type="character" w:styleId="19">
    <w:name w:val="Emphasis"/>
    <w:basedOn w:val="10"/>
    <w:rPr>
      <w:i/>
      <w:iCs/>
    </w:rPr>
  </w:style>
  <w:style w:type="character" w:styleId="20">
    <w:name w:val="Hyperlink"/>
    <w:basedOn w:val="10"/>
    <w:rPr>
      <w:color w:val="1E90FF"/>
      <w:u w:val="none"/>
    </w:rPr>
  </w:style>
  <w:style w:type="paragraph" w:styleId="21">
    <w:name w:val="List Paragraph"/>
    <w:basedOn w:val="0"/>
    <w:pPr>
      <w:ind w:firstLineChars="200" w:firstLine="200"/>
    </w:p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fontTable" Target="fontTable.xml"/></Relationships>
</file>

<file path=docProps/app.xml><?xml version="1.0" encoding="utf-8"?>
<Properties xmlns="http://schemas.openxmlformats.org/officeDocument/2006/extended-properties">
  <Template>Normal.eit</Template>
  <TotalTime>139</TotalTime>
  <Application>Yozo_Office27021597764231179</Application>
  <Pages>4</Pages>
  <Words>1719</Words>
  <Characters>1904</Characters>
  <Lines>89</Lines>
  <Paragraphs>32</Paragraphs>
  <CharactersWithSpaces>1961</CharactersWithSpaces>
  <Company>Microsoft</Company>
</Properties>
</file>

<file path=docProps/core.xml><?xml version="1.0" encoding="utf-8"?>
<cp:coreProperties xmlns:cp="http://schemas.openxmlformats.org/package/2006/metadata/core-properties" xmlns:dc="http://purl.org/dc/elements/1.1/" xmlns:dcterms="http://purl.org/dc/terms/" xmlns:xsi="http://www.w3.org/2001/XMLSchema-instance">
  <dc:creator>论大厅的重要性</dc:creator>
  <cp:lastModifiedBy>uos</cp:lastModifiedBy>
  <cp:revision>126</cp:revision>
  <dcterms:created xsi:type="dcterms:W3CDTF">2019-04-18T01:12:00Z</dcterms:created>
  <dcterms:modified xsi:type="dcterms:W3CDTF">2021-11-23T13:44:13Z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2052-11.1.0.10938</vt:lpwstr>
  </property>
  <property fmtid="{D5CDD505-2E9C-101B-9397-08002B2CF9AE}" pid="3" name="ICV">
    <vt:lpwstr>E431D850B1974BCB83DDE810910D3D29</vt:lpwstr>
  </property>
</Properties>
</file>