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11</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东胜区彭飞苏力德烟酒茶行</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92150602MA0PDHKB49</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东胜区伊化北路苏力德大酒店底商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彭飞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泸州老窖股份有限公司</w:t>
      </w:r>
      <w:bookmarkStart w:id="0" w:name="_GoBack"/>
      <w:bookmarkEnd w:id="0"/>
      <w:r>
        <w:rPr>
          <w:rFonts w:hint="eastAsia" w:ascii="仿宋_GB2312" w:hAnsi="仿宋_GB2312" w:eastAsia="仿宋_GB2312" w:cs="仿宋_GB2312"/>
          <w:sz w:val="32"/>
          <w:szCs w:val="32"/>
          <w:u w:val="single"/>
          <w:lang w:val="en-US" w:eastAsia="zh-CN"/>
        </w:rPr>
        <w:t>工作人员</w:t>
      </w:r>
      <w:r>
        <w:rPr>
          <w:rFonts w:hint="eastAsia" w:ascii="仿宋_GB2312" w:hAnsi="仿宋_GB2312" w:eastAsia="仿宋_GB2312" w:cs="仿宋_GB2312"/>
          <w:sz w:val="32"/>
          <w:szCs w:val="32"/>
          <w:u w:val="single"/>
          <w:lang w:eastAsia="zh-CN"/>
        </w:rPr>
        <w:t>配合下，到当事人彭飞经营的东胜区彭飞苏力德烟酒茶行进行检查，现场发现当事人店内待售的注册商标为</w:t>
      </w:r>
      <w:r>
        <w:rPr>
          <w:rFonts w:hint="eastAsia" w:ascii="仿宋_GB2312" w:hAnsi="仿宋_GB2312" w:eastAsia="仿宋_GB2312" w:cs="仿宋_GB2312"/>
          <w:sz w:val="32"/>
          <w:szCs w:val="32"/>
          <w:u w:val="single"/>
          <w:lang w:val="en-US" w:eastAsia="zh-CN"/>
        </w:rPr>
        <w:t>百年泸州老窖窖龄30年白酒（500ml、52°）7瓶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经泸州老窖股份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经营的7瓶侵权白酒实施扣押行政强制措施。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当事人经营的7瓶</w:t>
      </w:r>
      <w:r>
        <w:rPr>
          <w:rFonts w:hint="eastAsia" w:ascii="仿宋_GB2312" w:hAnsi="仿宋_GB2312" w:eastAsia="仿宋_GB2312" w:cs="仿宋_GB2312"/>
          <w:sz w:val="32"/>
          <w:szCs w:val="32"/>
          <w:u w:val="single"/>
          <w:lang w:val="en-US" w:eastAsia="zh-CN"/>
        </w:rPr>
        <w:t>涉案白酒是从一上门推销的陌生人处回收，回收价为百年泸州老窖窖龄30年白酒（500ml、52°）是150元/瓶，7瓶共1050元。销售价格为百年泸州老窖窖龄30年白酒（500ml、52°）是238元/瓶。截止2021年10月8日本局现场检查之日上述白酒未售出。当事人无法提供进货票据，不能证明该商品是自己合法取得，也无法说明提供者。上述涉案白酒的违法经营额共计1666元（238元/瓶×7瓶＝1666元），没有违法所得。</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日，执法人员现场检查时制作的现场检查笔录一份，证明当事人经营的“东胜区彭飞苏力德烟酒茶行”内经营有涉嫌侵犯他人注册商标专用权的</w:t>
      </w:r>
      <w:r>
        <w:rPr>
          <w:rFonts w:hint="eastAsia" w:ascii="仿宋_GB2312" w:hAnsi="仿宋_GB2312" w:eastAsia="仿宋_GB2312" w:cs="仿宋_GB2312"/>
          <w:sz w:val="32"/>
          <w:szCs w:val="32"/>
          <w:u w:val="single"/>
          <w:lang w:val="en-US" w:eastAsia="zh-CN"/>
        </w:rPr>
        <w:t>百年泸州老窖窖龄30年白酒（500ml、52°）7瓶。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泸州老窖股份有限公司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1份，证明当事人店内销售的百年泸州老窖窖龄30年白酒（500ml、52°）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泸州老窖股份有限公司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泸州老窖股份有限公司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泸州老窖股份有限公司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百年泸州老窖</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泸州老窖股份有限公司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u w:val="single"/>
          <w:lang w:eastAsia="zh-CN"/>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u w:val="single"/>
          <w:lang w:eastAsia="zh-CN"/>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7.2021年10月8日，执法人员现场检查提取百年泸州老窖窖龄30年白酒（500ml、52°）标价签1件，证明上述白酒销售价格情况。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eastAsia="zh-CN"/>
        </w:rPr>
        <w:t>依据《中华人民共和国行政处罚法》第四十四条、第四十五条，</w:t>
      </w:r>
      <w:r>
        <w:rPr>
          <w:rFonts w:hint="eastAsia" w:ascii="仿宋_GB2312" w:hAnsi="仿宋_GB2312" w:eastAsia="仿宋_GB2312" w:cs="仿宋_GB2312"/>
          <w:sz w:val="32"/>
          <w:szCs w:val="32"/>
          <w:u w:val="single"/>
        </w:rPr>
        <w:t>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w:t>
      </w:r>
      <w:r>
        <w:rPr>
          <w:rFonts w:hint="eastAsia" w:ascii="仿宋_GB2312" w:hAnsi="仿宋_GB2312" w:eastAsia="仿宋_GB2312" w:cs="仿宋_GB2312"/>
          <w:sz w:val="32"/>
          <w:szCs w:val="32"/>
          <w:u w:val="single"/>
          <w:lang w:eastAsia="zh-CN"/>
        </w:rPr>
        <w:t>规定</w:t>
      </w:r>
      <w:r>
        <w:rPr>
          <w:rFonts w:hint="eastAsia" w:ascii="仿宋_GB2312" w:hAnsi="仿宋_GB2312" w:eastAsia="仿宋_GB2312" w:cs="仿宋_GB2312"/>
          <w:sz w:val="32"/>
          <w:szCs w:val="32"/>
          <w:u w:val="single"/>
        </w:rPr>
        <w:t>，本局于2021年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w:t>
      </w:r>
      <w:r>
        <w:rPr>
          <w:rFonts w:hint="eastAsia" w:ascii="仿宋_GB2312" w:hAnsi="仿宋_GB2312" w:eastAsia="仿宋_GB2312" w:cs="仿宋_GB2312"/>
          <w:sz w:val="32"/>
          <w:szCs w:val="32"/>
          <w:u w:val="single"/>
          <w:lang w:eastAsia="zh-CN"/>
        </w:rPr>
        <w:t>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告知书，告知当事人拟作出行政处罚的事实、理由、依据和处罚内容，并告知当事人依法享有陈述、申辩的权利。当事人自告知书送达之日起五个工作日内，</w:t>
      </w:r>
      <w:r>
        <w:rPr>
          <w:rFonts w:hint="eastAsia" w:ascii="仿宋_GB2312" w:hAnsi="仿宋_GB2312" w:eastAsia="仿宋_GB2312" w:cs="仿宋_GB2312"/>
          <w:sz w:val="32"/>
          <w:szCs w:val="32"/>
          <w:u w:val="single"/>
          <w:lang w:val="en-US" w:eastAsia="zh-CN"/>
        </w:rPr>
        <w:t>无</w:t>
      </w:r>
      <w:r>
        <w:rPr>
          <w:rFonts w:hint="eastAsia" w:ascii="仿宋_GB2312" w:hAnsi="仿宋_GB2312" w:eastAsia="仿宋_GB2312" w:cs="仿宋_GB2312"/>
          <w:sz w:val="32"/>
          <w:szCs w:val="32"/>
          <w:u w:val="single"/>
        </w:rPr>
        <w:t>陈述、申辩</w:t>
      </w:r>
      <w:r>
        <w:rPr>
          <w:rFonts w:hint="eastAsia" w:ascii="仿宋_GB2312" w:hAnsi="仿宋_GB2312" w:eastAsia="仿宋_GB2312" w:cs="仿宋_GB2312"/>
          <w:sz w:val="32"/>
          <w:szCs w:val="32"/>
          <w:u w:val="single"/>
          <w:lang w:val="en-US" w:eastAsia="zh-CN"/>
        </w:rPr>
        <w:t>内容</w:t>
      </w:r>
      <w:r>
        <w:rPr>
          <w:rFonts w:hint="eastAsia" w:ascii="仿宋_GB2312" w:hAnsi="仿宋_GB2312" w:eastAsia="仿宋_GB2312" w:cs="仿宋_GB2312"/>
          <w:sz w:val="32"/>
          <w:szCs w:val="32"/>
          <w:u w:val="single"/>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，侵犯了</w:t>
      </w:r>
      <w:r>
        <w:rPr>
          <w:rFonts w:hint="eastAsia" w:ascii="仿宋_GB2312" w:hAnsi="仿宋_GB2312" w:eastAsia="仿宋_GB2312" w:cs="仿宋_GB2312"/>
          <w:sz w:val="32"/>
          <w:szCs w:val="32"/>
          <w:u w:val="single"/>
          <w:lang w:eastAsia="zh-CN"/>
        </w:rPr>
        <w:t>泸州老窖股份有限公司注册商标专用权。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7瓶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1666元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壹仟陆佰陆拾陆元</w:t>
      </w:r>
      <w:r>
        <w:rPr>
          <w:rFonts w:hint="eastAsia" w:ascii="仿宋_GB2312" w:hAnsi="仿宋_GB2312" w:eastAsia="仿宋_GB2312" w:cs="仿宋_GB2312"/>
          <w:sz w:val="32"/>
          <w:szCs w:val="32"/>
          <w:u w:val="single"/>
          <w:lang w:eastAsia="zh-CN"/>
        </w:rPr>
        <w:t>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综合考虑当事人违法事实、情节，责令当事人立即停止侵权行为，立即改正，并作如下处罚：</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7瓶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3.罚款1666元（大写：人民币壹仟陆佰陆拾陆元整）</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6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val="0"/>
        <w:snapToGrid w:val="0"/>
        <w:spacing w:after="0" w:line="56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6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32385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1pt;margin-top:2.55pt;height:0.05pt;width:437.05pt;z-index:251661312;mso-width-relative:page;mso-height-relative:page;" filled="f" stroked="t" coordsize="21600,21600" o:gfxdata="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w5EGtUAAAAFAQAADwAAAAAAAAABACAAAAAiAAAAZHJzL2Rvd25yZXYueG1sUEsBAhQAFAAA&#10;AAgAh07iQFdd1uDyAQAA6wMAAA4AAAAAAAAAAQAgAAAAJAEAAGRycy9lMm9Eb2MueG1sUEsFBgAA&#10;AAAGAAYAWQEAAIgFA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8B02D8F"/>
    <w:rsid w:val="0999211D"/>
    <w:rsid w:val="0AE15749"/>
    <w:rsid w:val="0C0C0561"/>
    <w:rsid w:val="0D6C4790"/>
    <w:rsid w:val="0F6471FB"/>
    <w:rsid w:val="103F215D"/>
    <w:rsid w:val="10EA02CC"/>
    <w:rsid w:val="10F352A9"/>
    <w:rsid w:val="168F2A01"/>
    <w:rsid w:val="17C25419"/>
    <w:rsid w:val="191D531C"/>
    <w:rsid w:val="19A0006C"/>
    <w:rsid w:val="1AB82A4F"/>
    <w:rsid w:val="1F866498"/>
    <w:rsid w:val="20C03A84"/>
    <w:rsid w:val="25EF68D2"/>
    <w:rsid w:val="271E7BB5"/>
    <w:rsid w:val="276E0C88"/>
    <w:rsid w:val="2EA32E99"/>
    <w:rsid w:val="346E3F19"/>
    <w:rsid w:val="39856401"/>
    <w:rsid w:val="39F3416D"/>
    <w:rsid w:val="3E0857BF"/>
    <w:rsid w:val="3E6E135A"/>
    <w:rsid w:val="3F13000C"/>
    <w:rsid w:val="44305769"/>
    <w:rsid w:val="46230FE6"/>
    <w:rsid w:val="465340B3"/>
    <w:rsid w:val="46891822"/>
    <w:rsid w:val="4B044CAC"/>
    <w:rsid w:val="4CEA1BFD"/>
    <w:rsid w:val="4E11068A"/>
    <w:rsid w:val="51074AD7"/>
    <w:rsid w:val="55D442CF"/>
    <w:rsid w:val="5B077E5D"/>
    <w:rsid w:val="65E25A36"/>
    <w:rsid w:val="66391C7D"/>
    <w:rsid w:val="6877549E"/>
    <w:rsid w:val="69420B2E"/>
    <w:rsid w:val="695D1C14"/>
    <w:rsid w:val="6BD67E31"/>
    <w:rsid w:val="6BEB19E4"/>
    <w:rsid w:val="74D2620B"/>
    <w:rsid w:val="78C96F7E"/>
    <w:rsid w:val="7BC118CC"/>
    <w:rsid w:val="7DA03577"/>
    <w:rsid w:val="7DC37EF5"/>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2021-11-10T07:05:00Z</cp:lastPrinted>
  <dcterms:modified xsi:type="dcterms:W3CDTF">2021-11-12T02:01:58Z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