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96EE" w14:textId="77777777" w:rsidR="00F1590E" w:rsidRPr="00C21770" w:rsidRDefault="00F1590E" w:rsidP="00F1590E">
      <w:pPr>
        <w:spacing w:line="360" w:lineRule="auto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消毒餐（饮）具中大肠菌群</w:t>
      </w:r>
    </w:p>
    <w:p w14:paraId="0C75B21A" w14:textId="0DCA0A75" w:rsidR="00F1590E" w:rsidRPr="00C21770" w:rsidRDefault="00F1590E" w:rsidP="00F1590E">
      <w:pPr>
        <w:spacing w:line="360" w:lineRule="auto"/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C21770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G</w:t>
      </w: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B 14934-2016《食品安全国家标准消毒食(饮)具》规定消毒</w:t>
      </w:r>
      <w:r w:rsidRPr="00C21770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餐具</w:t>
      </w: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中</w:t>
      </w:r>
      <w:r w:rsidRPr="00C21770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大肠菌群不得检出/</w:t>
      </w: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50cm</w:t>
      </w: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  <w:vertAlign w:val="superscript"/>
        </w:rPr>
        <w:t>2</w:t>
      </w: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。大肠菌群并非细菌学分类命名，而是卫生细菌领域的用语，它不代表某一个或某一属细菌，而指的是具有某些特性的一组与粪便污染有关的细菌。一般认为该菌群细菌可包括大肠埃希氏菌、柠檬酸杆菌、产气克雷白氏菌和阴沟肠杆菌等。大肠菌群分布较广，在温血动物粪便和自然界广泛存在，是评价食品卫生质量的重要指标之一。大肠菌群是作为粪便污染指标</w:t>
      </w:r>
      <w:proofErr w:type="gramStart"/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菌</w:t>
      </w:r>
      <w:proofErr w:type="gramEnd"/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有潜在的危险性。</w:t>
      </w:r>
    </w:p>
    <w:p w14:paraId="1A3E3463" w14:textId="77777777" w:rsidR="00F1590E" w:rsidRPr="00C21770" w:rsidRDefault="00F1590E" w:rsidP="00F1590E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餐具微生物限量指标不合格的主要原因包括生产用水受到污染、洗消剂不合格、浸泡液氯浓度偏低、消毒温度和消毒时间未达规定要求、餐具消毒后被脏手或</w:t>
      </w:r>
      <w:proofErr w:type="gramStart"/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脏物</w:t>
      </w:r>
      <w:proofErr w:type="gramEnd"/>
      <w:r w:rsidRPr="00C21770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接触，</w:t>
      </w:r>
      <w:r w:rsidRPr="00C21770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也不排除餐具存放的地方不干净，造成二次污染。</w:t>
      </w:r>
    </w:p>
    <w:p w14:paraId="6F0C54C2" w14:textId="471C93C2" w:rsidR="005850CF" w:rsidRPr="005850CF" w:rsidRDefault="005850CF">
      <w:pPr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</w:p>
    <w:p w14:paraId="31279F0C" w14:textId="57474165" w:rsidR="000C1647" w:rsidRDefault="005850CF" w:rsidP="005850CF">
      <w:pPr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属氯化烟碱类化合物，是一种新型杀虫剂，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杀虫剂主要是干扰昆虫内神经传导作用，通过与乙酰胆碱受体结合，从而抑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lastRenderedPageBreak/>
        <w:t>制乙酰胆碱受体的活性。</w:t>
      </w:r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未遵守采摘间隔期规定或致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超标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是一种具有触杀、渗透和传导作用的吡啶类杀虫剂。《食品安全国家标准食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 xml:space="preserve"> 品中农药最</w:t>
      </w:r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大残留限量》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(GB2763- -2021) 中要求，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在韭菜中的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残留值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不大于0.02mg/kg。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脒检出值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不合格的原因可能是种植过程中为防止病虫害而超标使用。目前，河南省市场监管局针对抽检发现的问题，已责令当地市场监管部门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]对涉及</w:t>
      </w:r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单位依法处理，令查清不合格产品的批次、数量、流向，回不合格产品，采取下架等措施控制风险，分析原因进行整改，并依法予以查处。实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,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不仅可能在韭菜中残留，也有可能在油菜(普通白菜)中残留。油菜(普通白</w:t>
      </w:r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菜</w:t>
      </w:r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)中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残留量超标的原因可能是为了快速控制虫害，加大用药量或末遵守采摘间隔期规</w:t>
      </w:r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定，致使上市销售的产品中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残留量超标。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啶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脒</w:t>
      </w:r>
      <w:proofErr w:type="gramEnd"/>
      <w:r w:rsidRPr="005850CF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中毒后会出现头痛、头昏、动、视物模糊、抽搐、恶心、呕吐等健康危害。</w:t>
      </w:r>
    </w:p>
    <w:p w14:paraId="2B48120E" w14:textId="06E96374" w:rsidR="00B97541" w:rsidRPr="00924F79" w:rsidRDefault="00B97541" w:rsidP="005850CF">
      <w:pPr>
        <w:ind w:firstLineChars="200" w:firstLine="560"/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</w:pPr>
      <w:r w:rsidRPr="00924F79"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  <w:t>酒精度</w:t>
      </w:r>
    </w:p>
    <w:p w14:paraId="63A4A285" w14:textId="2AB2DFFF" w:rsidR="0014119D" w:rsidRPr="005850CF" w:rsidRDefault="00B97541" w:rsidP="005850CF">
      <w:pPr>
        <w:ind w:firstLineChars="200" w:firstLine="560"/>
        <w:rPr>
          <w:rFonts w:ascii="宋体" w:eastAsia="宋体" w:hAnsi="宋体" w:cs="Times New Roman" w:hint="eastAsia"/>
          <w:color w:val="000000" w:themeColor="text1"/>
          <w:kern w:val="0"/>
          <w:sz w:val="28"/>
          <w:szCs w:val="28"/>
        </w:rPr>
      </w:pPr>
      <w:r w:rsidRPr="00924F79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酒的度数表示酒中含</w:t>
      </w:r>
      <w:hyperlink r:id="rId6" w:tgtFrame="_blank" w:history="1">
        <w:r w:rsidRPr="00924F79">
          <w:rPr>
            <w:rFonts w:ascii="宋体" w:eastAsia="宋体" w:hAnsi="宋体" w:cs="Times New Roman"/>
            <w:color w:val="000000" w:themeColor="text1"/>
            <w:kern w:val="0"/>
            <w:sz w:val="28"/>
            <w:szCs w:val="28"/>
          </w:rPr>
          <w:t>乙醇</w:t>
        </w:r>
      </w:hyperlink>
      <w:r w:rsidRPr="00924F79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的体积</w:t>
      </w:r>
      <w:hyperlink r:id="rId7" w:tgtFrame="_blank" w:history="1">
        <w:r w:rsidRPr="00924F79">
          <w:rPr>
            <w:rFonts w:ascii="宋体" w:eastAsia="宋体" w:hAnsi="宋体" w:cs="Times New Roman"/>
            <w:color w:val="000000" w:themeColor="text1"/>
            <w:kern w:val="0"/>
            <w:sz w:val="28"/>
            <w:szCs w:val="28"/>
          </w:rPr>
          <w:t>百分比</w:t>
        </w:r>
      </w:hyperlink>
      <w:r w:rsidRPr="00924F79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，通常是以20℃时的体积比表示的，如50度的酒，表示在100毫升的酒中，含有乙醇50毫升(20℃)，酒精度一般是以</w:t>
      </w:r>
      <w:hyperlink r:id="rId8" w:tgtFrame="_blank" w:history="1">
        <w:r w:rsidRPr="00924F79">
          <w:rPr>
            <w:rFonts w:ascii="宋体" w:eastAsia="宋体" w:hAnsi="宋体" w:cs="Times New Roman"/>
            <w:color w:val="000000" w:themeColor="text1"/>
            <w:kern w:val="0"/>
            <w:sz w:val="28"/>
            <w:szCs w:val="28"/>
          </w:rPr>
          <w:t>容量</w:t>
        </w:r>
      </w:hyperlink>
      <w:r w:rsidRPr="00924F79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来计算，故在</w:t>
      </w:r>
      <w:hyperlink r:id="rId9" w:tgtFrame="_blank" w:history="1">
        <w:r w:rsidRPr="00924F79">
          <w:rPr>
            <w:rFonts w:ascii="宋体" w:eastAsia="宋体" w:hAnsi="宋体" w:cs="Times New Roman"/>
            <w:color w:val="000000" w:themeColor="text1"/>
            <w:kern w:val="0"/>
            <w:sz w:val="28"/>
            <w:szCs w:val="28"/>
          </w:rPr>
          <w:t>酒精浓度</w:t>
        </w:r>
      </w:hyperlink>
      <w:r w:rsidRPr="00924F79">
        <w:rPr>
          <w:rFonts w:ascii="宋体" w:eastAsia="宋体" w:hAnsi="宋体" w:cs="Times New Roman"/>
          <w:color w:val="000000" w:themeColor="text1"/>
          <w:kern w:val="0"/>
          <w:sz w:val="28"/>
          <w:szCs w:val="28"/>
        </w:rPr>
        <w:t>后，会加上“Vol. ”以示与重量计算之区分。</w:t>
      </w:r>
    </w:p>
    <w:sectPr w:rsidR="0014119D" w:rsidRPr="0058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4C80" w14:textId="77777777" w:rsidR="0083541A" w:rsidRDefault="0083541A" w:rsidP="00F1590E">
      <w:r>
        <w:separator/>
      </w:r>
    </w:p>
  </w:endnote>
  <w:endnote w:type="continuationSeparator" w:id="0">
    <w:p w14:paraId="41B52175" w14:textId="77777777" w:rsidR="0083541A" w:rsidRDefault="0083541A" w:rsidP="00F1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1EE4" w14:textId="77777777" w:rsidR="0083541A" w:rsidRDefault="0083541A" w:rsidP="00F1590E">
      <w:r>
        <w:separator/>
      </w:r>
    </w:p>
  </w:footnote>
  <w:footnote w:type="continuationSeparator" w:id="0">
    <w:p w14:paraId="03A1C48E" w14:textId="77777777" w:rsidR="0083541A" w:rsidRDefault="0083541A" w:rsidP="00F1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47"/>
    <w:rsid w:val="000C1647"/>
    <w:rsid w:val="0014119D"/>
    <w:rsid w:val="005850CF"/>
    <w:rsid w:val="0083541A"/>
    <w:rsid w:val="00924F79"/>
    <w:rsid w:val="00B97541"/>
    <w:rsid w:val="00F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CD7DF"/>
  <w15:chartTrackingRefBased/>
  <w15:docId w15:val="{DB651F2B-847F-4CD2-8D99-643D3E0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90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9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E%B9%E9%87%8F/6067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99%BE%E5%88%86%E6%AF%94/1303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9%99%E9%86%87/1353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9%85%92%E7%B2%BE%E6%B5%93%E5%BA%A6/609864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晓阳</dc:creator>
  <cp:keywords/>
  <dc:description/>
  <cp:lastModifiedBy>徐 晓阳</cp:lastModifiedBy>
  <cp:revision>3</cp:revision>
  <dcterms:created xsi:type="dcterms:W3CDTF">2021-10-30T06:34:00Z</dcterms:created>
  <dcterms:modified xsi:type="dcterms:W3CDTF">2021-10-30T08:25:00Z</dcterms:modified>
</cp:coreProperties>
</file>