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700" w:lineRule="exact"/>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市市场监管局发布</w:t>
      </w: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预拌混凝土产品质量监督抽查分析报告</w:t>
      </w: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下半年</w:t>
      </w:r>
      <w:r>
        <w:rPr>
          <w:rFonts w:hint="default" w:ascii="Times New Roman" w:hAnsi="Times New Roman" w:eastAsia="方正仿宋_GBK" w:cs="Times New Roman"/>
          <w:sz w:val="32"/>
          <w:szCs w:val="32"/>
        </w:rPr>
        <w:t>，盐城市市场监督管理局委托盐城市产品质量监督检验所对预拌混凝土产品进行监督抽查。本次抽查全市</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家预拌混凝土生产企业的</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批次预拌混凝土产品，经检验合格</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批次，</w:t>
      </w:r>
      <w:r>
        <w:rPr>
          <w:rFonts w:hint="default" w:ascii="Times New Roman" w:hAnsi="Times New Roman" w:eastAsia="方正仿宋_GBK" w:cs="Times New Roman"/>
          <w:sz w:val="32"/>
          <w:szCs w:val="32"/>
          <w:lang w:eastAsia="zh-CN"/>
        </w:rPr>
        <w:t>不合格</w:t>
      </w:r>
      <w:r>
        <w:rPr>
          <w:rFonts w:hint="default" w:ascii="Times New Roman" w:hAnsi="Times New Roman" w:eastAsia="方正仿宋_GBK" w:cs="Times New Roman"/>
          <w:sz w:val="32"/>
          <w:szCs w:val="32"/>
          <w:lang w:val="en-US" w:eastAsia="zh-CN"/>
        </w:rPr>
        <w:t>1批次，不合格项目为</w:t>
      </w:r>
      <w:r>
        <w:rPr>
          <w:rFonts w:hint="default" w:ascii="Times New Roman" w:hAnsi="Times New Roman" w:eastAsia="方正仿宋_GBK" w:cs="Times New Roman"/>
          <w:sz w:val="32"/>
          <w:szCs w:val="32"/>
        </w:rPr>
        <w:t>坍落度项目。</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一、产品和产业概况</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（一）产品概况</w:t>
      </w:r>
    </w:p>
    <w:p>
      <w:pPr>
        <w:keepNext w:val="0"/>
        <w:keepLines w:val="0"/>
        <w:pageBreakBefore w:val="0"/>
        <w:widowControl w:val="0"/>
        <w:kinsoku/>
        <w:wordWrap/>
        <w:overflowPunct/>
        <w:topLinePunct w:val="0"/>
        <w:autoSpaceDE/>
        <w:autoSpaceDN/>
        <w:bidi w:val="0"/>
        <w:adjustRightInd/>
        <w:snapToGrid/>
        <w:spacing w:line="576"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预拌混凝土是指水泥、</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"https://baike.so.com/doc/5603499-5816107.html"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集料</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、水、外加剂、矿物掺合料等组分按一定比例拌制后在规定时间内送交使用的</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"https://baike.so.com/doc/1326568-1402443.html"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混凝土拌合物</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。预拌混凝土多作为商品出售，故也称商品混凝土。混凝土集中搅拌有利于采用先进的工艺技术、实行专业化规模化生产管理，具有材料损耗少、生产效率高、产品质量稳定、环境污染可控的优势。</w:t>
      </w:r>
    </w:p>
    <w:p>
      <w:pPr>
        <w:keepNext w:val="0"/>
        <w:keepLines w:val="0"/>
        <w:pageBreakBefore w:val="0"/>
        <w:widowControl w:val="0"/>
        <w:kinsoku/>
        <w:wordWrap/>
        <w:overflowPunct/>
        <w:topLinePunct w:val="0"/>
        <w:autoSpaceDE/>
        <w:autoSpaceDN/>
        <w:bidi w:val="0"/>
        <w:adjustRightInd/>
        <w:snapToGrid/>
        <w:spacing w:line="576" w:lineRule="exact"/>
        <w:ind w:firstLine="684" w:firstLineChars="214"/>
        <w:textAlignment w:val="auto"/>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（二）产业概况</w:t>
      </w:r>
    </w:p>
    <w:p>
      <w:pPr>
        <w:keepNext w:val="0"/>
        <w:keepLines w:val="0"/>
        <w:pageBreakBefore w:val="0"/>
        <w:widowControl w:val="0"/>
        <w:kinsoku/>
        <w:wordWrap/>
        <w:overflowPunct/>
        <w:topLinePunct w:val="0"/>
        <w:autoSpaceDE/>
        <w:autoSpaceDN/>
        <w:bidi w:val="0"/>
        <w:adjustRightInd/>
        <w:snapToGrid/>
        <w:spacing w:line="576" w:lineRule="exact"/>
        <w:ind w:firstLine="684" w:firstLineChars="214"/>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据市预拌混凝土专治办2019年9月份督查通报，我市手续齐全的预拌混凝土生产企业共有99家，其中盐城市区40家、东台市7家、建湖县10家、射阳县11家、阜宁县10家、滨海11家、响水县10家。</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二、检验检测概况</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（一）样品来源</w:t>
      </w:r>
    </w:p>
    <w:p>
      <w:pPr>
        <w:spacing w:line="576"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本次任务共</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批次，实际抽到样</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批次，均在生产企业抽取，具体情况见表1。</w:t>
      </w:r>
    </w:p>
    <w:p>
      <w:pPr>
        <w:spacing w:line="576" w:lineRule="exact"/>
        <w:ind w:firstLine="56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表1</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预拌混凝土样品来源</w:t>
      </w:r>
    </w:p>
    <w:tbl>
      <w:tblPr>
        <w:tblStyle w:val="6"/>
        <w:tblW w:w="4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4"/>
        <w:gridCol w:w="2287"/>
        <w:gridCol w:w="2169"/>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494" w:type="pct"/>
            <w:vAlign w:val="center"/>
          </w:tcPr>
          <w:p>
            <w:pPr>
              <w:spacing w:line="300" w:lineRule="exact"/>
              <w:jc w:val="center"/>
              <w:rPr>
                <w:rFonts w:hint="default" w:ascii="Times New Roman" w:hAnsi="Times New Roman" w:eastAsia="方正黑体_GBK" w:cs="Times New Roman"/>
                <w:color w:val="000000"/>
                <w:kern w:val="0"/>
                <w:sz w:val="24"/>
                <w:szCs w:val="28"/>
              </w:rPr>
            </w:pPr>
            <w:bookmarkStart w:id="0" w:name="_GoBack" w:colFirst="0" w:colLast="3"/>
            <w:r>
              <w:rPr>
                <w:rFonts w:hint="default" w:ascii="Times New Roman" w:hAnsi="Times New Roman" w:eastAsia="方正黑体_GBK" w:cs="Times New Roman"/>
                <w:color w:val="000000"/>
                <w:kern w:val="0"/>
                <w:sz w:val="24"/>
                <w:szCs w:val="28"/>
              </w:rPr>
              <w:t>产品类别</w:t>
            </w:r>
          </w:p>
        </w:tc>
        <w:tc>
          <w:tcPr>
            <w:tcW w:w="1317" w:type="pct"/>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样品来源</w:t>
            </w:r>
          </w:p>
        </w:tc>
        <w:tc>
          <w:tcPr>
            <w:tcW w:w="1249" w:type="pct"/>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样品来源方式</w:t>
            </w:r>
          </w:p>
        </w:tc>
        <w:tc>
          <w:tcPr>
            <w:tcW w:w="940" w:type="pct"/>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抽样批次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94" w:type="pct"/>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预拌混凝土</w:t>
            </w:r>
          </w:p>
        </w:tc>
        <w:tc>
          <w:tcPr>
            <w:tcW w:w="1317" w:type="pct"/>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生产企业</w:t>
            </w:r>
          </w:p>
        </w:tc>
        <w:tc>
          <w:tcPr>
            <w:tcW w:w="1249" w:type="pct"/>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抽样</w:t>
            </w:r>
          </w:p>
        </w:tc>
        <w:tc>
          <w:tcPr>
            <w:tcW w:w="940" w:type="pct"/>
            <w:vAlign w:val="center"/>
          </w:tcPr>
          <w:p>
            <w:pPr>
              <w:spacing w:line="300" w:lineRule="exact"/>
              <w:jc w:val="center"/>
              <w:rPr>
                <w:rFonts w:hint="default" w:ascii="Times New Roman" w:hAnsi="Times New Roman" w:eastAsia="方正仿宋_GBK" w:cs="Times New Roman"/>
                <w:color w:val="000000"/>
                <w:kern w:val="0"/>
                <w:sz w:val="24"/>
                <w:szCs w:val="28"/>
                <w:lang w:val="en-US" w:eastAsia="zh-CN"/>
              </w:rPr>
            </w:pPr>
            <w:r>
              <w:rPr>
                <w:rFonts w:hint="default" w:ascii="Times New Roman" w:hAnsi="Times New Roman" w:eastAsia="方正仿宋_GBK" w:cs="Times New Roman"/>
                <w:color w:val="000000"/>
                <w:kern w:val="0"/>
                <w:sz w:val="24"/>
                <w:szCs w:val="28"/>
                <w:lang w:val="en-US" w:eastAsia="zh-CN"/>
              </w:rPr>
              <w:t>30</w:t>
            </w:r>
          </w:p>
        </w:tc>
      </w:tr>
      <w:bookmarkEnd w:id="0"/>
    </w:tbl>
    <w:p>
      <w:pPr>
        <w:spacing w:line="576" w:lineRule="exact"/>
        <w:ind w:firstLine="684" w:firstLineChars="214"/>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（二）检验检测项目概况</w:t>
      </w:r>
    </w:p>
    <w:p>
      <w:pPr>
        <w:spacing w:line="576" w:lineRule="exact"/>
        <w:ind w:firstLine="56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本次监督抽查依据GB/T 14902-2012《预拌混凝土》、GB 6566-2010《建筑材料放射性核素限量》以及经备案现行有效的企业标准及产品明示质量要求开展监督抽查。具体检验项目及依据见表2。</w:t>
      </w:r>
    </w:p>
    <w:p>
      <w:pPr>
        <w:spacing w:line="576" w:lineRule="exact"/>
        <w:ind w:firstLine="56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表2  预拌混凝土产品质量监督抽查检测依据</w:t>
      </w:r>
    </w:p>
    <w:tbl>
      <w:tblPr>
        <w:tblStyle w:val="6"/>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6"/>
        <w:gridCol w:w="1794"/>
        <w:gridCol w:w="252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产品类别</w:t>
            </w:r>
          </w:p>
        </w:tc>
        <w:tc>
          <w:tcPr>
            <w:tcW w:w="1626" w:type="dxa"/>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检验检测项目</w:t>
            </w:r>
          </w:p>
        </w:tc>
        <w:tc>
          <w:tcPr>
            <w:tcW w:w="1794" w:type="dxa"/>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检验检测依据</w:t>
            </w:r>
          </w:p>
        </w:tc>
        <w:tc>
          <w:tcPr>
            <w:tcW w:w="2520" w:type="dxa"/>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检验检测方法名称</w:t>
            </w:r>
          </w:p>
        </w:tc>
        <w:tc>
          <w:tcPr>
            <w:tcW w:w="1478" w:type="dxa"/>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0" w:type="dxa"/>
            <w:vMerge w:val="restart"/>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预拌混凝土</w:t>
            </w:r>
          </w:p>
        </w:tc>
        <w:tc>
          <w:tcPr>
            <w:tcW w:w="1626"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强度</w:t>
            </w:r>
          </w:p>
        </w:tc>
        <w:tc>
          <w:tcPr>
            <w:tcW w:w="1794"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GB/T 14902-2012《预拌混凝土》</w:t>
            </w:r>
          </w:p>
        </w:tc>
        <w:tc>
          <w:tcPr>
            <w:tcW w:w="2520"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GB/T 50081-2002《普通混凝土力学性能试验方法标准》</w:t>
            </w:r>
          </w:p>
        </w:tc>
        <w:tc>
          <w:tcPr>
            <w:tcW w:w="1478" w:type="dxa"/>
            <w:vAlign w:val="center"/>
          </w:tcPr>
          <w:p>
            <w:pPr>
              <w:spacing w:line="300" w:lineRule="exact"/>
              <w:jc w:val="center"/>
              <w:rPr>
                <w:rFonts w:hint="default" w:ascii="Times New Roman" w:hAnsi="Times New Roman" w:eastAsia="方正仿宋_GBK"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0" w:type="dxa"/>
            <w:vMerge w:val="continue"/>
            <w:vAlign w:val="center"/>
          </w:tcPr>
          <w:p>
            <w:pPr>
              <w:spacing w:line="300" w:lineRule="exact"/>
              <w:jc w:val="center"/>
              <w:rPr>
                <w:rFonts w:hint="default" w:ascii="Times New Roman" w:hAnsi="Times New Roman" w:eastAsia="方正仿宋_GBK" w:cs="Times New Roman"/>
                <w:color w:val="000000"/>
                <w:kern w:val="0"/>
                <w:sz w:val="24"/>
                <w:szCs w:val="28"/>
              </w:rPr>
            </w:pPr>
          </w:p>
        </w:tc>
        <w:tc>
          <w:tcPr>
            <w:tcW w:w="1626"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坍落度</w:t>
            </w:r>
          </w:p>
        </w:tc>
        <w:tc>
          <w:tcPr>
            <w:tcW w:w="1794"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GB/T 14902-2012《预拌混凝土》</w:t>
            </w:r>
          </w:p>
        </w:tc>
        <w:tc>
          <w:tcPr>
            <w:tcW w:w="2520"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GB/T 50080-2016《普通混凝土拌合物性能试验方法标准》</w:t>
            </w:r>
          </w:p>
        </w:tc>
        <w:tc>
          <w:tcPr>
            <w:tcW w:w="1478" w:type="dxa"/>
            <w:vAlign w:val="center"/>
          </w:tcPr>
          <w:p>
            <w:pPr>
              <w:spacing w:line="300" w:lineRule="exact"/>
              <w:jc w:val="center"/>
              <w:rPr>
                <w:rFonts w:hint="default" w:ascii="Times New Roman" w:hAnsi="Times New Roman" w:eastAsia="方正仿宋_GBK"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0" w:type="dxa"/>
            <w:vMerge w:val="continue"/>
            <w:vAlign w:val="center"/>
          </w:tcPr>
          <w:p>
            <w:pPr>
              <w:spacing w:line="300" w:lineRule="exact"/>
              <w:jc w:val="center"/>
              <w:rPr>
                <w:rFonts w:hint="default" w:ascii="Times New Roman" w:hAnsi="Times New Roman" w:eastAsia="方正仿宋_GBK" w:cs="Times New Roman"/>
                <w:color w:val="000000"/>
                <w:kern w:val="0"/>
                <w:sz w:val="24"/>
                <w:szCs w:val="28"/>
              </w:rPr>
            </w:pPr>
          </w:p>
        </w:tc>
        <w:tc>
          <w:tcPr>
            <w:tcW w:w="1626"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坍落度经时损失</w:t>
            </w:r>
          </w:p>
        </w:tc>
        <w:tc>
          <w:tcPr>
            <w:tcW w:w="1794"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GB/T 14902-2012《预拌混凝土》</w:t>
            </w:r>
          </w:p>
        </w:tc>
        <w:tc>
          <w:tcPr>
            <w:tcW w:w="2520"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GB 50164-2012《混凝土质量控制标准》</w:t>
            </w:r>
          </w:p>
        </w:tc>
        <w:tc>
          <w:tcPr>
            <w:tcW w:w="1478" w:type="dxa"/>
            <w:vAlign w:val="center"/>
          </w:tcPr>
          <w:p>
            <w:pPr>
              <w:spacing w:line="300" w:lineRule="exact"/>
              <w:jc w:val="center"/>
              <w:rPr>
                <w:rFonts w:hint="default" w:ascii="Times New Roman" w:hAnsi="Times New Roman" w:eastAsia="方正仿宋_GBK"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300" w:lineRule="exact"/>
              <w:jc w:val="center"/>
              <w:rPr>
                <w:rFonts w:hint="default" w:ascii="Times New Roman" w:hAnsi="Times New Roman" w:eastAsia="方正仿宋_GBK" w:cs="Times New Roman"/>
                <w:color w:val="000000"/>
                <w:kern w:val="0"/>
                <w:sz w:val="24"/>
                <w:szCs w:val="28"/>
              </w:rPr>
            </w:pPr>
          </w:p>
        </w:tc>
        <w:tc>
          <w:tcPr>
            <w:tcW w:w="1626"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放射性核素限量</w:t>
            </w:r>
          </w:p>
        </w:tc>
        <w:tc>
          <w:tcPr>
            <w:tcW w:w="1794"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GB 6566-2010《建筑材料放射性核素限量》</w:t>
            </w:r>
          </w:p>
        </w:tc>
        <w:tc>
          <w:tcPr>
            <w:tcW w:w="2520"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GB 6566-2010《建筑材料放射性核素限量》</w:t>
            </w:r>
          </w:p>
        </w:tc>
        <w:tc>
          <w:tcPr>
            <w:tcW w:w="1478" w:type="dxa"/>
            <w:vAlign w:val="center"/>
          </w:tcPr>
          <w:p>
            <w:pPr>
              <w:spacing w:line="300" w:lineRule="exact"/>
              <w:jc w:val="center"/>
              <w:rPr>
                <w:rFonts w:hint="default" w:ascii="Times New Roman" w:hAnsi="Times New Roman" w:eastAsia="方正仿宋_GBK" w:cs="Times New Roman"/>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0" w:type="dxa"/>
            <w:vMerge w:val="continue"/>
            <w:vAlign w:val="center"/>
          </w:tcPr>
          <w:p>
            <w:pPr>
              <w:spacing w:line="300" w:lineRule="exact"/>
              <w:jc w:val="center"/>
              <w:rPr>
                <w:rFonts w:hint="default" w:ascii="Times New Roman" w:hAnsi="Times New Roman" w:eastAsia="方正仿宋_GBK" w:cs="Times New Roman"/>
                <w:color w:val="000000"/>
                <w:kern w:val="0"/>
                <w:sz w:val="24"/>
                <w:szCs w:val="28"/>
              </w:rPr>
            </w:pPr>
          </w:p>
        </w:tc>
        <w:tc>
          <w:tcPr>
            <w:tcW w:w="1626"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水溶性氯离子最大含量</w:t>
            </w:r>
          </w:p>
        </w:tc>
        <w:tc>
          <w:tcPr>
            <w:tcW w:w="1794"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GB/T 14902-2012《预拌混凝土》</w:t>
            </w:r>
          </w:p>
        </w:tc>
        <w:tc>
          <w:tcPr>
            <w:tcW w:w="2520"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JTJ 270-1998《水运工程混凝土试验规程》</w:t>
            </w:r>
          </w:p>
        </w:tc>
        <w:tc>
          <w:tcPr>
            <w:tcW w:w="1478" w:type="dxa"/>
            <w:vAlign w:val="center"/>
          </w:tcPr>
          <w:p>
            <w:pPr>
              <w:spacing w:line="300" w:lineRule="exact"/>
              <w:jc w:val="center"/>
              <w:rPr>
                <w:rFonts w:hint="default" w:ascii="Times New Roman" w:hAnsi="Times New Roman" w:eastAsia="方正仿宋_GBK" w:cs="Times New Roman"/>
                <w:color w:val="000000"/>
                <w:kern w:val="0"/>
                <w:sz w:val="24"/>
                <w:szCs w:val="28"/>
              </w:rPr>
            </w:pPr>
          </w:p>
        </w:tc>
      </w:tr>
    </w:tbl>
    <w:p>
      <w:pPr>
        <w:spacing w:line="576" w:lineRule="exact"/>
        <w:ind w:firstLine="56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三、监督抽查结果分析</w:t>
      </w:r>
    </w:p>
    <w:p>
      <w:pPr>
        <w:spacing w:line="576" w:lineRule="exact"/>
        <w:ind w:firstLine="684" w:firstLineChars="214"/>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（一）综合分析</w:t>
      </w:r>
    </w:p>
    <w:p>
      <w:pPr>
        <w:spacing w:line="576" w:lineRule="exact"/>
        <w:ind w:firstLine="687" w:firstLineChars="214"/>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 按样品来源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本次监督抽查共抽查预拌混凝土产品</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批次，全部来于生产领域，合格</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批次，不合格1批次，合格率</w:t>
      </w:r>
      <w:r>
        <w:rPr>
          <w:rFonts w:hint="default" w:ascii="Times New Roman" w:hAnsi="Times New Roman" w:eastAsia="方正仿宋_GBK" w:cs="Times New Roman"/>
          <w:sz w:val="32"/>
          <w:szCs w:val="32"/>
          <w:lang w:val="en-US" w:eastAsia="zh-CN"/>
        </w:rPr>
        <w:t>96.7</w:t>
      </w:r>
      <w:r>
        <w:rPr>
          <w:rFonts w:hint="default" w:ascii="Times New Roman" w:hAnsi="Times New Roman" w:eastAsia="方正仿宋_GBK" w:cs="Times New Roman"/>
          <w:sz w:val="32"/>
          <w:szCs w:val="32"/>
        </w:rPr>
        <w:t>%。</w:t>
      </w:r>
    </w:p>
    <w:p>
      <w:pPr>
        <w:spacing w:line="576" w:lineRule="exact"/>
        <w:ind w:firstLine="687" w:firstLineChars="214"/>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 .按产品分类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不同规格型号产品合格率统计如下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具体情况见表</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p>
    <w:p>
      <w:pPr>
        <w:spacing w:line="576" w:lineRule="exact"/>
        <w:ind w:firstLine="56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表3  预拌混凝土不同产品分类抽查结果</w:t>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2115"/>
        <w:gridCol w:w="211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不同规格型号</w:t>
            </w:r>
          </w:p>
        </w:tc>
        <w:tc>
          <w:tcPr>
            <w:tcW w:w="2115" w:type="dxa"/>
            <w:vAlign w:val="center"/>
          </w:tcPr>
          <w:p>
            <w:pPr>
              <w:pStyle w:val="5"/>
              <w:spacing w:beforeAutospacing="0" w:afterAutospacing="0" w:line="300" w:lineRule="exact"/>
              <w:jc w:val="center"/>
              <w:rPr>
                <w:rFonts w:hint="default" w:ascii="Times New Roman" w:hAnsi="Times New Roman" w:eastAsia="方正黑体_GBK" w:cs="Times New Roman"/>
                <w:color w:val="000000"/>
                <w:sz w:val="24"/>
                <w:szCs w:val="28"/>
              </w:rPr>
            </w:pPr>
            <w:r>
              <w:rPr>
                <w:rFonts w:hint="default" w:ascii="Times New Roman" w:hAnsi="Times New Roman" w:eastAsia="方正黑体_GBK" w:cs="Times New Roman"/>
                <w:color w:val="000000"/>
                <w:sz w:val="24"/>
                <w:szCs w:val="28"/>
              </w:rPr>
              <w:t>抽查批次</w:t>
            </w:r>
          </w:p>
        </w:tc>
        <w:tc>
          <w:tcPr>
            <w:tcW w:w="2115" w:type="dxa"/>
            <w:vAlign w:val="center"/>
          </w:tcPr>
          <w:p>
            <w:pPr>
              <w:pStyle w:val="5"/>
              <w:spacing w:beforeAutospacing="0" w:afterAutospacing="0" w:line="300" w:lineRule="exact"/>
              <w:jc w:val="center"/>
              <w:rPr>
                <w:rFonts w:hint="default" w:ascii="Times New Roman" w:hAnsi="Times New Roman" w:eastAsia="方正黑体_GBK" w:cs="Times New Roman"/>
                <w:color w:val="000000"/>
                <w:sz w:val="24"/>
                <w:szCs w:val="28"/>
              </w:rPr>
            </w:pPr>
            <w:r>
              <w:rPr>
                <w:rFonts w:hint="default" w:ascii="Times New Roman" w:hAnsi="Times New Roman" w:eastAsia="方正黑体_GBK" w:cs="Times New Roman"/>
                <w:color w:val="000000"/>
                <w:sz w:val="24"/>
                <w:szCs w:val="28"/>
              </w:rPr>
              <w:t>合格批次</w:t>
            </w:r>
          </w:p>
        </w:tc>
        <w:tc>
          <w:tcPr>
            <w:tcW w:w="2115" w:type="dxa"/>
            <w:vAlign w:val="center"/>
          </w:tcPr>
          <w:p>
            <w:pPr>
              <w:pStyle w:val="5"/>
              <w:spacing w:beforeAutospacing="0" w:afterAutospacing="0" w:line="300" w:lineRule="exact"/>
              <w:jc w:val="center"/>
              <w:rPr>
                <w:rFonts w:hint="default" w:ascii="Times New Roman" w:hAnsi="Times New Roman" w:eastAsia="方正黑体_GBK" w:cs="Times New Roman"/>
                <w:color w:val="000000"/>
                <w:sz w:val="24"/>
                <w:szCs w:val="28"/>
              </w:rPr>
            </w:pPr>
            <w:r>
              <w:rPr>
                <w:rFonts w:hint="default" w:ascii="Times New Roman" w:hAnsi="Times New Roman" w:eastAsia="方正黑体_GBK" w:cs="Times New Roman"/>
                <w:color w:val="000000"/>
                <w:sz w:val="24"/>
                <w:szCs w:val="28"/>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C20</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highlight w:val="none"/>
              </w:rPr>
            </w:pPr>
            <w:r>
              <w:rPr>
                <w:rFonts w:hint="default" w:ascii="Times New Roman" w:hAnsi="Times New Roman" w:eastAsia="方正仿宋_GBK" w:cs="Times New Roman"/>
                <w:color w:val="000000"/>
                <w:kern w:val="0"/>
                <w:sz w:val="24"/>
                <w:szCs w:val="28"/>
                <w:highlight w:val="none"/>
              </w:rPr>
              <w:t>C25</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highlight w:val="none"/>
                <w:lang w:eastAsia="zh-CN"/>
              </w:rPr>
            </w:pPr>
            <w:r>
              <w:rPr>
                <w:rFonts w:hint="default" w:ascii="Times New Roman" w:hAnsi="Times New Roman" w:eastAsia="方正仿宋_GBK" w:cs="Times New Roman"/>
                <w:color w:val="000000"/>
                <w:kern w:val="0"/>
                <w:sz w:val="24"/>
                <w:szCs w:val="28"/>
                <w:highlight w:val="none"/>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highlight w:val="none"/>
              </w:rPr>
            </w:pPr>
            <w:r>
              <w:rPr>
                <w:rFonts w:hint="default" w:ascii="Times New Roman" w:hAnsi="Times New Roman" w:eastAsia="方正仿宋_GBK" w:cs="Times New Roman"/>
                <w:color w:val="000000"/>
                <w:kern w:val="0"/>
                <w:sz w:val="24"/>
                <w:szCs w:val="28"/>
                <w:highlight w:val="none"/>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highlight w:val="none"/>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highlight w:val="none"/>
              </w:rPr>
            </w:pPr>
            <w:r>
              <w:rPr>
                <w:rFonts w:hint="default" w:ascii="Times New Roman" w:hAnsi="Times New Roman" w:eastAsia="方正仿宋_GBK" w:cs="Times New Roman"/>
                <w:color w:val="000000"/>
                <w:kern w:val="0"/>
                <w:sz w:val="24"/>
                <w:szCs w:val="28"/>
                <w:highlight w:val="none"/>
              </w:rPr>
              <w:t>C30</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highlight w:val="none"/>
                <w:lang w:val="en-US" w:eastAsia="zh-CN"/>
              </w:rPr>
            </w:pPr>
            <w:r>
              <w:rPr>
                <w:rFonts w:hint="default" w:ascii="Times New Roman" w:hAnsi="Times New Roman" w:eastAsia="方正仿宋_GBK" w:cs="Times New Roman"/>
                <w:color w:val="000000"/>
                <w:kern w:val="0"/>
                <w:sz w:val="24"/>
                <w:szCs w:val="28"/>
                <w:highlight w:val="none"/>
                <w:lang w:val="en-US" w:eastAsia="zh-CN"/>
              </w:rPr>
              <w:t>22</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highlight w:val="none"/>
                <w:lang w:val="en-US" w:eastAsia="zh-CN"/>
              </w:rPr>
            </w:pPr>
            <w:r>
              <w:rPr>
                <w:rFonts w:hint="default" w:ascii="Times New Roman" w:hAnsi="Times New Roman" w:eastAsia="方正仿宋_GBK" w:cs="Times New Roman"/>
                <w:color w:val="000000"/>
                <w:kern w:val="0"/>
                <w:sz w:val="24"/>
                <w:szCs w:val="28"/>
                <w:highlight w:val="none"/>
                <w:lang w:val="en-US" w:eastAsia="zh-CN"/>
              </w:rPr>
              <w:t>21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highlight w:val="none"/>
              </w:rPr>
            </w:pPr>
            <w:r>
              <w:rPr>
                <w:rFonts w:hint="default" w:ascii="Times New Roman" w:hAnsi="Times New Roman" w:eastAsia="方正仿宋_GBK" w:cs="Times New Roman"/>
                <w:color w:val="000000"/>
                <w:kern w:val="0"/>
                <w:sz w:val="24"/>
                <w:szCs w:val="28"/>
                <w:highlight w:val="none"/>
                <w:lang w:val="en-US" w:eastAsia="zh-CN"/>
              </w:rPr>
              <w:t>95</w:t>
            </w:r>
            <w:r>
              <w:rPr>
                <w:rFonts w:hint="default" w:ascii="Times New Roman" w:hAnsi="Times New Roman" w:eastAsia="方正仿宋_GBK" w:cs="Times New Roman"/>
                <w:color w:val="000000"/>
                <w:kern w:val="0"/>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C35</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C40</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val="en-US" w:eastAsia="zh-CN"/>
              </w:rPr>
            </w:pPr>
            <w:r>
              <w:rPr>
                <w:rFonts w:hint="default" w:ascii="Times New Roman" w:hAnsi="Times New Roman" w:eastAsia="方正仿宋_GBK" w:cs="Times New Roman"/>
                <w:color w:val="000000"/>
                <w:kern w:val="0"/>
                <w:sz w:val="24"/>
                <w:szCs w:val="28"/>
                <w:lang w:val="en-US" w:eastAsia="zh-CN"/>
              </w:rPr>
              <w:t>C55</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val="en-US" w:eastAsia="zh-CN"/>
              </w:rPr>
            </w:pPr>
            <w:r>
              <w:rPr>
                <w:rFonts w:hint="default" w:ascii="Times New Roman" w:hAnsi="Times New Roman" w:eastAsia="方正仿宋_GBK" w:cs="Times New Roman"/>
                <w:color w:val="000000"/>
                <w:kern w:val="0"/>
                <w:sz w:val="24"/>
                <w:szCs w:val="28"/>
                <w:lang w:val="en-US" w:eastAsia="zh-CN"/>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val="en-US" w:eastAsia="zh-CN"/>
              </w:rPr>
            </w:pPr>
            <w:r>
              <w:rPr>
                <w:rFonts w:hint="default" w:ascii="Times New Roman" w:hAnsi="Times New Roman" w:eastAsia="方正仿宋_GBK" w:cs="Times New Roman"/>
                <w:color w:val="000000"/>
                <w:kern w:val="0"/>
                <w:sz w:val="24"/>
                <w:szCs w:val="28"/>
                <w:lang w:val="en-US" w:eastAsia="zh-CN"/>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bl>
    <w:p>
      <w:pPr>
        <w:spacing w:line="576" w:lineRule="exact"/>
        <w:ind w:firstLine="687" w:firstLineChars="214"/>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xml:space="preserve">3. </w:t>
      </w:r>
      <w:r>
        <w:rPr>
          <w:rFonts w:hint="eastAsia" w:ascii="Times New Roman" w:hAnsi="Times New Roman" w:eastAsia="方正仿宋_GBK" w:cs="Times New Roman"/>
          <w:b/>
          <w:sz w:val="32"/>
          <w:szCs w:val="32"/>
          <w:lang w:eastAsia="zh-CN"/>
        </w:rPr>
        <w:t>按</w:t>
      </w:r>
      <w:r>
        <w:rPr>
          <w:rFonts w:hint="default" w:ascii="Times New Roman" w:hAnsi="Times New Roman" w:eastAsia="方正仿宋_GBK" w:cs="Times New Roman"/>
          <w:b/>
          <w:sz w:val="32"/>
          <w:szCs w:val="32"/>
        </w:rPr>
        <w:t>生产企业分布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按生产企业所在地统计企业和产品合格率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具体情况见表</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p>
    <w:p>
      <w:pPr>
        <w:spacing w:line="576" w:lineRule="exact"/>
        <w:ind w:firstLine="56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表4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不同区县预拌混凝土产品分类抽查结果</w:t>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5"/>
        <w:gridCol w:w="2115"/>
        <w:gridCol w:w="211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黑体_GBK" w:cs="Times New Roman"/>
                <w:color w:val="000000"/>
                <w:kern w:val="0"/>
                <w:sz w:val="24"/>
                <w:szCs w:val="28"/>
              </w:rPr>
            </w:pPr>
            <w:r>
              <w:rPr>
                <w:rFonts w:hint="default" w:ascii="Times New Roman" w:hAnsi="Times New Roman" w:eastAsia="方正黑体_GBK" w:cs="Times New Roman"/>
                <w:color w:val="000000"/>
                <w:kern w:val="0"/>
                <w:sz w:val="24"/>
                <w:szCs w:val="28"/>
              </w:rPr>
              <w:t>不同区县</w:t>
            </w:r>
          </w:p>
        </w:tc>
        <w:tc>
          <w:tcPr>
            <w:tcW w:w="2115" w:type="dxa"/>
            <w:vAlign w:val="center"/>
          </w:tcPr>
          <w:p>
            <w:pPr>
              <w:pStyle w:val="5"/>
              <w:spacing w:beforeAutospacing="0" w:afterAutospacing="0" w:line="300" w:lineRule="exact"/>
              <w:jc w:val="center"/>
              <w:rPr>
                <w:rFonts w:hint="default" w:ascii="Times New Roman" w:hAnsi="Times New Roman" w:eastAsia="方正黑体_GBK" w:cs="Times New Roman"/>
                <w:color w:val="000000"/>
                <w:sz w:val="24"/>
                <w:szCs w:val="28"/>
              </w:rPr>
            </w:pPr>
            <w:r>
              <w:rPr>
                <w:rFonts w:hint="default" w:ascii="Times New Roman" w:hAnsi="Times New Roman" w:eastAsia="方正黑体_GBK" w:cs="Times New Roman"/>
                <w:color w:val="000000"/>
                <w:sz w:val="24"/>
                <w:szCs w:val="28"/>
              </w:rPr>
              <w:t>抽查批次</w:t>
            </w:r>
          </w:p>
        </w:tc>
        <w:tc>
          <w:tcPr>
            <w:tcW w:w="2115" w:type="dxa"/>
            <w:vAlign w:val="center"/>
          </w:tcPr>
          <w:p>
            <w:pPr>
              <w:pStyle w:val="5"/>
              <w:spacing w:beforeAutospacing="0" w:afterAutospacing="0" w:line="300" w:lineRule="exact"/>
              <w:jc w:val="center"/>
              <w:rPr>
                <w:rFonts w:hint="default" w:ascii="Times New Roman" w:hAnsi="Times New Roman" w:eastAsia="方正黑体_GBK" w:cs="Times New Roman"/>
                <w:color w:val="000000"/>
                <w:sz w:val="24"/>
                <w:szCs w:val="28"/>
              </w:rPr>
            </w:pPr>
            <w:r>
              <w:rPr>
                <w:rFonts w:hint="default" w:ascii="Times New Roman" w:hAnsi="Times New Roman" w:eastAsia="方正黑体_GBK" w:cs="Times New Roman"/>
                <w:color w:val="000000"/>
                <w:sz w:val="24"/>
                <w:szCs w:val="28"/>
              </w:rPr>
              <w:t>合格批次</w:t>
            </w:r>
          </w:p>
        </w:tc>
        <w:tc>
          <w:tcPr>
            <w:tcW w:w="2115" w:type="dxa"/>
            <w:vAlign w:val="center"/>
          </w:tcPr>
          <w:p>
            <w:pPr>
              <w:pStyle w:val="5"/>
              <w:spacing w:beforeAutospacing="0" w:afterAutospacing="0" w:line="300" w:lineRule="exact"/>
              <w:jc w:val="center"/>
              <w:rPr>
                <w:rFonts w:hint="default" w:ascii="Times New Roman" w:hAnsi="Times New Roman" w:eastAsia="方正黑体_GBK" w:cs="Times New Roman"/>
                <w:color w:val="000000"/>
                <w:sz w:val="24"/>
                <w:szCs w:val="28"/>
              </w:rPr>
            </w:pPr>
            <w:r>
              <w:rPr>
                <w:rFonts w:hint="default" w:ascii="Times New Roman" w:hAnsi="Times New Roman" w:eastAsia="方正黑体_GBK" w:cs="Times New Roman"/>
                <w:color w:val="000000"/>
                <w:sz w:val="24"/>
                <w:szCs w:val="28"/>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盐都区</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6</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6</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亭湖区</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大丰区</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东台市</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滨海县</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lang w:val="en-US" w:eastAsia="zh-CN"/>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阜宁县</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lang w:val="en-US" w:eastAsia="zh-CN"/>
              </w:rPr>
              <w:t>1</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val="en-US" w:eastAsia="zh-CN"/>
              </w:rPr>
            </w:pPr>
            <w:r>
              <w:rPr>
                <w:rFonts w:hint="default" w:ascii="Times New Roman" w:hAnsi="Times New Roman" w:eastAsia="方正仿宋_GBK" w:cs="Times New Roman"/>
                <w:color w:val="000000"/>
                <w:kern w:val="0"/>
                <w:sz w:val="24"/>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建湖县</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lang w:val="en-US" w:eastAsia="zh-CN"/>
              </w:rPr>
              <w:t>3</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射阳县</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lang w:val="en-US" w:eastAsia="zh-CN"/>
              </w:rPr>
              <w:t>4</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响水县</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lang w:eastAsia="zh-CN"/>
              </w:rPr>
            </w:pPr>
            <w:r>
              <w:rPr>
                <w:rFonts w:hint="default" w:ascii="Times New Roman" w:hAnsi="Times New Roman" w:eastAsia="方正仿宋_GBK" w:cs="Times New Roman"/>
                <w:color w:val="000000"/>
                <w:kern w:val="0"/>
                <w:sz w:val="24"/>
                <w:szCs w:val="28"/>
                <w:lang w:val="en-US" w:eastAsia="zh-CN"/>
              </w:rPr>
              <w:t>2</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lang w:val="en-US" w:eastAsia="zh-CN"/>
              </w:rPr>
              <w:t>2</w:t>
            </w:r>
          </w:p>
        </w:tc>
        <w:tc>
          <w:tcPr>
            <w:tcW w:w="2115" w:type="dxa"/>
            <w:vAlign w:val="center"/>
          </w:tcPr>
          <w:p>
            <w:pPr>
              <w:spacing w:line="300" w:lineRule="exact"/>
              <w:jc w:val="center"/>
              <w:rPr>
                <w:rFonts w:hint="default" w:ascii="Times New Roman" w:hAnsi="Times New Roman" w:eastAsia="方正仿宋_GBK" w:cs="Times New Roman"/>
                <w:color w:val="000000"/>
                <w:kern w:val="0"/>
                <w:sz w:val="24"/>
                <w:szCs w:val="28"/>
              </w:rPr>
            </w:pPr>
            <w:r>
              <w:rPr>
                <w:rFonts w:hint="default" w:ascii="Times New Roman" w:hAnsi="Times New Roman" w:eastAsia="方正仿宋_GBK" w:cs="Times New Roman"/>
                <w:color w:val="000000"/>
                <w:kern w:val="0"/>
                <w:sz w:val="24"/>
                <w:szCs w:val="28"/>
              </w:rPr>
              <w:t>100%</w:t>
            </w:r>
          </w:p>
        </w:tc>
      </w:tr>
    </w:tbl>
    <w:p>
      <w:pPr>
        <w:spacing w:line="576" w:lineRule="exact"/>
        <w:ind w:firstLine="684" w:firstLineChars="214"/>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color w:val="000000"/>
          <w:kern w:val="0"/>
          <w:sz w:val="32"/>
          <w:szCs w:val="32"/>
        </w:rPr>
        <w:t>（二）检验检测项目分析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本次抽查结果显示，不合格项目为坍落度。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坍落度是指混凝土的</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"https://baike.so.com/doc/61355-64565.html" \t "_blank" </w:instrText>
      </w:r>
      <w:r>
        <w:rPr>
          <w:rFonts w:hint="default" w:ascii="Times New Roman" w:hAnsi="Times New Roman" w:cs="Times New Roman"/>
          <w:sz w:val="32"/>
          <w:szCs w:val="32"/>
        </w:rPr>
        <w:fldChar w:fldCharType="separate"/>
      </w:r>
      <w:r>
        <w:rPr>
          <w:rFonts w:hint="default" w:ascii="Times New Roman" w:hAnsi="Times New Roman" w:eastAsia="方正仿宋_GBK" w:cs="Times New Roman"/>
          <w:sz w:val="32"/>
          <w:szCs w:val="32"/>
        </w:rPr>
        <w:t>和易性</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，具体来说就是保证施工的正常进行，其中包括混凝土的保水性，流动性和黏聚性。坍落度是用一个量化指标来衡量其程度的高低，用于判断施工能否正常进行。引起不合格的常见原因有：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"https://baike.so.com/doc/5576130-5789967.html"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沙河</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水洗砂由于存料时间和批次不同，含水量不稳定，且通过试验确定含水量时局限性较大，粗骨料一般情况含水量比较稳定，但有时也会变化，原因是骨料厂多为开敞式存放，在雨后骨料含水量发生变化，拌制混凝土时骨料吸水率不同会造成混凝土坍落度不同程度的偏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混凝土搅拌时间长会造成骨料吸水量加大，使混凝土熟料中的自由水份减少，造成混凝土坍落度的损失。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混凝土搅拌机械计量</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"https://baike.so.com/doc/5715165-5927891.html"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系统误差</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也会造成混凝土坍落度损失，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"https://baike.so.com/doc/1621197-1713933.html"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混凝土配合比</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是通过精确计算并经过多次试配调整得出来的，任何一种材料由于计量不准确，都会使单位内材料</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"https://baike.so.com/doc/137760-145576.html"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比表面积</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发生变化，材料比表面积变化越大，坍落度经时损失也越大。</w:t>
      </w:r>
    </w:p>
    <w:p>
      <w:pPr>
        <w:spacing w:line="576" w:lineRule="exact"/>
        <w:ind w:firstLine="56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四、消费提示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建议预拌混凝土产品使用方注意如下事项：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作为预拌混凝土供应方的生产企业应持有相应的资质，生产能力能满足工程质量的要求。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签定合同时注明产品质量执行的标准，细化重要的质量技术条款。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sz w:val="22"/>
          <w:szCs w:val="24"/>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验收时应执行产品交付抽样检验方案，以确保合格产品用于建筑工程。</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F30"/>
    <w:rsid w:val="000D4F3D"/>
    <w:rsid w:val="000D6EE3"/>
    <w:rsid w:val="00203486"/>
    <w:rsid w:val="002352D8"/>
    <w:rsid w:val="00264224"/>
    <w:rsid w:val="002C5517"/>
    <w:rsid w:val="00316147"/>
    <w:rsid w:val="003D5F86"/>
    <w:rsid w:val="0040705D"/>
    <w:rsid w:val="00516B50"/>
    <w:rsid w:val="005F1AC2"/>
    <w:rsid w:val="006163CD"/>
    <w:rsid w:val="00624CE5"/>
    <w:rsid w:val="006952F0"/>
    <w:rsid w:val="00737EFB"/>
    <w:rsid w:val="0074327D"/>
    <w:rsid w:val="007706A1"/>
    <w:rsid w:val="00821487"/>
    <w:rsid w:val="00896482"/>
    <w:rsid w:val="008D3286"/>
    <w:rsid w:val="009338F8"/>
    <w:rsid w:val="009B7C93"/>
    <w:rsid w:val="00A541B2"/>
    <w:rsid w:val="00B6032F"/>
    <w:rsid w:val="00B703FD"/>
    <w:rsid w:val="00B94E23"/>
    <w:rsid w:val="00C83BB8"/>
    <w:rsid w:val="00C91B4A"/>
    <w:rsid w:val="00CD639B"/>
    <w:rsid w:val="00D83BFB"/>
    <w:rsid w:val="00DC7F30"/>
    <w:rsid w:val="00E61557"/>
    <w:rsid w:val="00EB1691"/>
    <w:rsid w:val="00F32FD6"/>
    <w:rsid w:val="00F60D71"/>
    <w:rsid w:val="00F7137D"/>
    <w:rsid w:val="00FA37FE"/>
    <w:rsid w:val="00FB4873"/>
    <w:rsid w:val="00FC00D1"/>
    <w:rsid w:val="018C24BD"/>
    <w:rsid w:val="05F10119"/>
    <w:rsid w:val="06E253B0"/>
    <w:rsid w:val="08354C26"/>
    <w:rsid w:val="0B296A56"/>
    <w:rsid w:val="0BAE63AC"/>
    <w:rsid w:val="0C4B646B"/>
    <w:rsid w:val="107A112A"/>
    <w:rsid w:val="136E6812"/>
    <w:rsid w:val="14ED0B1D"/>
    <w:rsid w:val="16324769"/>
    <w:rsid w:val="17751278"/>
    <w:rsid w:val="1989571B"/>
    <w:rsid w:val="199C2B94"/>
    <w:rsid w:val="19E5605B"/>
    <w:rsid w:val="200E00C6"/>
    <w:rsid w:val="20C53C61"/>
    <w:rsid w:val="24262AF6"/>
    <w:rsid w:val="25705F69"/>
    <w:rsid w:val="28B803DF"/>
    <w:rsid w:val="29885B0A"/>
    <w:rsid w:val="2E23213D"/>
    <w:rsid w:val="2F565BAD"/>
    <w:rsid w:val="31401BDE"/>
    <w:rsid w:val="32B2539A"/>
    <w:rsid w:val="3EDF45F4"/>
    <w:rsid w:val="404A7FC1"/>
    <w:rsid w:val="4060102A"/>
    <w:rsid w:val="410C3B93"/>
    <w:rsid w:val="42B470A7"/>
    <w:rsid w:val="4559692F"/>
    <w:rsid w:val="467C17E8"/>
    <w:rsid w:val="480B054B"/>
    <w:rsid w:val="490253B9"/>
    <w:rsid w:val="4D506A8E"/>
    <w:rsid w:val="50A0740D"/>
    <w:rsid w:val="52420344"/>
    <w:rsid w:val="54B83FFF"/>
    <w:rsid w:val="566F66AB"/>
    <w:rsid w:val="5D491005"/>
    <w:rsid w:val="5D827948"/>
    <w:rsid w:val="61CB07A1"/>
    <w:rsid w:val="64466D2B"/>
    <w:rsid w:val="65FF0E5B"/>
    <w:rsid w:val="68C22F78"/>
    <w:rsid w:val="6DB9580E"/>
    <w:rsid w:val="72F70FE8"/>
    <w:rsid w:val="73275A5E"/>
    <w:rsid w:val="73954117"/>
    <w:rsid w:val="759603F4"/>
    <w:rsid w:val="767B3340"/>
    <w:rsid w:val="77A17307"/>
    <w:rsid w:val="780F5043"/>
    <w:rsid w:val="7C6C4AEF"/>
    <w:rsid w:val="7CC61930"/>
    <w:rsid w:val="7E7A30D3"/>
    <w:rsid w:val="7F5728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adjustRightInd w:val="0"/>
      <w:snapToGrid w:val="0"/>
      <w:spacing w:line="360" w:lineRule="auto"/>
      <w:ind w:firstLine="200" w:firstLineChars="200"/>
    </w:pPr>
    <w:rPr>
      <w:rFonts w:ascii="Times New Roman" w:hAnsi="Times New Roman"/>
      <w:sz w:val="32"/>
      <w:szCs w:val="32"/>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rFonts w:ascii="Times New Roman" w:hAnsi="Times New Roman"/>
      <w:kern w:val="0"/>
      <w:sz w:val="24"/>
      <w:szCs w:val="24"/>
    </w:rPr>
  </w:style>
  <w:style w:type="character" w:styleId="8">
    <w:name w:val="Hyperlink"/>
    <w:basedOn w:val="7"/>
    <w:qFormat/>
    <w:uiPriority w:val="99"/>
    <w:rPr>
      <w:rFonts w:cs="Times New Roman"/>
      <w:color w:val="0000FF"/>
      <w:u w:val="single"/>
    </w:rPr>
  </w:style>
  <w:style w:type="character" w:customStyle="1" w:styleId="9">
    <w:name w:val="Body Text Char"/>
    <w:basedOn w:val="7"/>
    <w:link w:val="2"/>
    <w:qFormat/>
    <w:locked/>
    <w:uiPriority w:val="99"/>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368</Words>
  <Characters>2102</Characters>
  <Lines>0</Lines>
  <Paragraphs>0</Paragraphs>
  <TotalTime>19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2020-12-09T06:32:00Z</dcterms:created>
  <dc:creator>user</dc:creator>
  <cp:lastModifiedBy>王新生</cp:lastModifiedBy>
  <dcterms:modified xsi:type="dcterms:W3CDTF">2021-11-12T03:20:33Z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7FB9361ACB87499BB07D6CBCE323DCDA</vt:lpwstr>
  </property>
</Properties>
</file>