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市市场监管局发布</w:t>
      </w:r>
    </w:p>
    <w:p>
      <w:pPr>
        <w:rPr>
          <w:rFonts w:hint="default" w:ascii="Times New Roman" w:hAnsi="Times New Roman" w:eastAsia="方正黑体_GBK" w:cs="Times New Roman"/>
          <w:kern w:val="0"/>
          <w:sz w:val="32"/>
          <w:szCs w:val="32"/>
        </w:rPr>
      </w:pPr>
    </w:p>
    <w:p>
      <w:pPr>
        <w:autoSpaceDE w:val="0"/>
        <w:autoSpaceDN w:val="0"/>
        <w:spacing w:line="7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空气净化器质量监督抽查分析报告</w:t>
      </w:r>
    </w:p>
    <w:p>
      <w:pPr>
        <w:spacing w:line="700" w:lineRule="exact"/>
        <w:rPr>
          <w:rFonts w:hint="default" w:ascii="Times New Roman" w:hAnsi="Times New Roman" w:eastAsia="黑体" w:cs="Times New Roman"/>
          <w:sz w:val="30"/>
          <w:szCs w:val="30"/>
        </w:rPr>
      </w:pP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下半年</w:t>
      </w:r>
      <w:r>
        <w:rPr>
          <w:rFonts w:hint="default" w:ascii="Times New Roman" w:hAnsi="Times New Roman" w:eastAsia="方正仿宋_GBK" w:cs="Times New Roman"/>
          <w:sz w:val="32"/>
          <w:szCs w:val="32"/>
        </w:rPr>
        <w:t>，盐城市市场监督管理局委托盐城市产品质量监督检验所，对盐城市空气净化器进行了市级监督抽查。本次抽查空气净化器</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批次，合格1</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批次，合格率100%。</w:t>
      </w:r>
    </w:p>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一、产品和产业概况</w:t>
      </w:r>
    </w:p>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（一）产品概况</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净化器是一种能够净化室内空气的家用电器产品，又被称作空气清洁器、空气清新机，该装置在工作中能够吸附、分解或转化各种空气污染物（一般包括粉尘、花粉、异味、甲醛、细菌、过敏源等），从而有效提高室内空气质量。</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空气净化器可以按照设置位置划分为台壁式、吊挂式、吸顶式和落地式等类型。按照其工作原理则可分为：过滤式、吸附式、络合式、化学催化式、光催化式、静电式、负离子式、等离子式、复合式等。</w:t>
      </w:r>
    </w:p>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（二）产业概况</w:t>
      </w:r>
    </w:p>
    <w:p>
      <w:pPr>
        <w:spacing w:line="576" w:lineRule="exact"/>
        <w:ind w:firstLine="684" w:firstLineChars="214"/>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1.产业分布</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净化器产业主要分布在北京及周边、长三角、珠三角地区，主要销售市场为华北、华东地区，根据奥维云网统计，2020年全国空气净化器生产企业约390家，和2019年的450多家企业的数据相比较，品牌数量减少15%左右；在2019年全行业销售额达到91 亿元，销售量约450万台，但是受新冠疫情影响，2020上半年空气净化器销售金额仅30亿元左右，销售数量150万台左右，同比下滑超过35%，而且空气净化器的销量能够直观反映当地空气质量水平，近年来，随着大气环境的持续改善，家用空气净化器市场持续萎缩，行业收紧趋势明显，产品性能差、质量不稳定的低竞争力品牌逐渐退出市场，相对地，高竞争力企业靠着扎实的技术，稳定的质量和品牌影响力逐步提高市场占有率，在竞争中取胜。</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前，江苏省内空气净化器的企业有十多家，主要分布在苏州、南京、泰州等地，作为传统小家电的生产集中地，江苏地区具备完整的供应链和生产制造能力，给空气净化器的制造带来较多便利。在空气净化器领域有科沃斯机器人、莱克、三星等行业知名企业，也有较多的小微企业。总体来看，江苏省地区空气净化器产业的基础较好，但产品质量和净化性能的持续提升仍有较大的发展空间。</w:t>
      </w:r>
    </w:p>
    <w:p>
      <w:pPr>
        <w:spacing w:line="576"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盐城市内有一家空气净化器生产企业，为建湖的江苏帝源。</w:t>
      </w:r>
    </w:p>
    <w:p>
      <w:pPr>
        <w:spacing w:line="576" w:lineRule="exact"/>
        <w:ind w:firstLine="684" w:firstLineChars="214"/>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2.销售渠道</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根据2019 年空气净化器市场销售情况，主流品牌包括：AO史密斯、飞利浦、小米、松下、莱克、科沃斯、三星、贝昂、亚都、布鲁雅尔、霍尼韦尔、惠而浦、大金、3M、夏普、美的、三个爸爸等。</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盐城市内主要销售品牌有：莱克、AO史密斯、飞利浦、小米、松下、莱克、科沃斯、亚都、惠而浦、大金、3M、夏普、美的。</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净化器主要有以下销售渠道：实体店，如综合型商场、专卖店、大型超市和批发市场等；电商平台，如天猫、京东、淘宝、拼多多和国内在线等；其中综合商场、超市是传统家电品牌的家用空气净化器（三星、莱克、美的等）的主流销售渠道；以小米为代表的“互联网品牌”电商平台销售额占大部分，占比30%左右。</w:t>
      </w:r>
    </w:p>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二、检验检测概况</w:t>
      </w:r>
    </w:p>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（一）样品来源</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本次任务共</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批次，实际抽到样</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批次，在实体店中抽取7批次，电商3批次，具体情况见表1。</w:t>
      </w:r>
    </w:p>
    <w:p>
      <w:pPr>
        <w:spacing w:line="576" w:lineRule="exact"/>
        <w:ind w:firstLine="560"/>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表1  空气净化器样品来源</w:t>
      </w:r>
    </w:p>
    <w:tbl>
      <w:tblPr>
        <w:tblStyle w:val="7"/>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287"/>
        <w:gridCol w:w="2169"/>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4" w:type="pct"/>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产品类别</w:t>
            </w:r>
          </w:p>
        </w:tc>
        <w:tc>
          <w:tcPr>
            <w:tcW w:w="1317" w:type="pct"/>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样品来源</w:t>
            </w:r>
          </w:p>
        </w:tc>
        <w:tc>
          <w:tcPr>
            <w:tcW w:w="1249" w:type="pct"/>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样品来源方式</w:t>
            </w:r>
          </w:p>
        </w:tc>
        <w:tc>
          <w:tcPr>
            <w:tcW w:w="940" w:type="pct"/>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抽样批次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4"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空气净化器</w:t>
            </w:r>
          </w:p>
        </w:tc>
        <w:tc>
          <w:tcPr>
            <w:tcW w:w="1317"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实体店</w:t>
            </w:r>
          </w:p>
        </w:tc>
        <w:tc>
          <w:tcPr>
            <w:tcW w:w="1249"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购样</w:t>
            </w:r>
          </w:p>
        </w:tc>
        <w:tc>
          <w:tcPr>
            <w:tcW w:w="940"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4"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空气净化器</w:t>
            </w:r>
          </w:p>
        </w:tc>
        <w:tc>
          <w:tcPr>
            <w:tcW w:w="1317"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电商平台</w:t>
            </w:r>
          </w:p>
        </w:tc>
        <w:tc>
          <w:tcPr>
            <w:tcW w:w="1249"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购样</w:t>
            </w:r>
          </w:p>
        </w:tc>
        <w:tc>
          <w:tcPr>
            <w:tcW w:w="940" w:type="pc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r>
    </w:tbl>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（二）检验检测项目概况</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本次监督抽查检验检测依据如下：</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GB/T 18801-2015《空气净化器》</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4706.1-2005《家用和类似用途电器的安全第1部分：通用要求》</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GB 4706.45-2008《家用和类似用途电器的安全空气净化器的特殊要求》</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相关的法律法规、部门规章和规范。</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经备案现行有效的企业标准及产品明示质量要求。</w:t>
      </w:r>
    </w:p>
    <w:p>
      <w:pPr>
        <w:spacing w:line="576" w:lineRule="exact"/>
        <w:ind w:firstLine="5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本次监督抽查涉及的具体检验检测项目、方法和判定依据见表2：</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表2  空气净化器检验检测项目及依据</w:t>
      </w:r>
    </w:p>
    <w:tbl>
      <w:tblPr>
        <w:tblStyle w:val="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77"/>
        <w:gridCol w:w="1611"/>
        <w:gridCol w:w="2562"/>
        <w:gridCol w:w="242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2" w:hRule="atLeast"/>
          <w:jc w:val="center"/>
        </w:trPr>
        <w:tc>
          <w:tcPr>
            <w:tcW w:w="1177"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产品类别</w:t>
            </w:r>
          </w:p>
        </w:tc>
        <w:tc>
          <w:tcPr>
            <w:tcW w:w="1611"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检验项目</w:t>
            </w:r>
          </w:p>
        </w:tc>
        <w:tc>
          <w:tcPr>
            <w:tcW w:w="2562"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检验检测依据</w:t>
            </w:r>
          </w:p>
        </w:tc>
        <w:tc>
          <w:tcPr>
            <w:tcW w:w="2428"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检验检测方法名称</w:t>
            </w:r>
          </w:p>
        </w:tc>
        <w:tc>
          <w:tcPr>
            <w:tcW w:w="992"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jc w:val="center"/>
        </w:trPr>
        <w:tc>
          <w:tcPr>
            <w:tcW w:w="1177" w:type="dxa"/>
            <w:vMerge w:val="restar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空气净化器</w:t>
            </w: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标志和说明</w:t>
            </w:r>
          </w:p>
        </w:tc>
        <w:tc>
          <w:tcPr>
            <w:tcW w:w="2562" w:type="dxa"/>
            <w:vMerge w:val="restart"/>
            <w:vAlign w:val="center"/>
          </w:tcPr>
          <w:p>
            <w:pPr>
              <w:spacing w:line="576"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GB 4706.1-2005《家用和类似用途电器的安全第1部分：通用要求》</w:t>
            </w:r>
          </w:p>
          <w:p>
            <w:pPr>
              <w:spacing w:line="576"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GB 4706.45-2008《家用和类似用途电器的安全空气净化器的特殊要求》</w:t>
            </w:r>
          </w:p>
          <w:p>
            <w:pPr>
              <w:spacing w:line="576" w:lineRule="exact"/>
              <w:jc w:val="left"/>
              <w:rPr>
                <w:rFonts w:hint="default" w:ascii="Times New Roman" w:hAnsi="Times New Roman" w:eastAsia="方正仿宋_GBK" w:cs="Times New Roman"/>
                <w:szCs w:val="21"/>
              </w:rPr>
            </w:pPr>
          </w:p>
        </w:tc>
        <w:tc>
          <w:tcPr>
            <w:tcW w:w="2428" w:type="dxa"/>
            <w:vMerge w:val="restart"/>
            <w:vAlign w:val="center"/>
          </w:tcPr>
          <w:p>
            <w:pPr>
              <w:spacing w:line="576"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GB 4706.1-2005《家用和类似用途电器的安全第1部分：通用要求》</w:t>
            </w:r>
          </w:p>
          <w:p>
            <w:pPr>
              <w:spacing w:line="576"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GB 4706.45-2008《家用和类似用途电器的安全空气净化器的特殊要求》</w:t>
            </w:r>
          </w:p>
          <w:p>
            <w:pPr>
              <w:spacing w:line="576" w:lineRule="exact"/>
              <w:jc w:val="left"/>
              <w:rPr>
                <w:rFonts w:hint="default" w:ascii="Times New Roman" w:hAnsi="Times New Roman" w:eastAsia="方正仿宋_GBK" w:cs="Times New Roman"/>
                <w:szCs w:val="21"/>
              </w:rPr>
            </w:pPr>
          </w:p>
        </w:tc>
        <w:tc>
          <w:tcPr>
            <w:tcW w:w="992"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7"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输入功率和电流</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电气间隙、爬电距离和固体绝缘</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结构</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机械强度</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工作温度下的泄露电流和电气强度</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稳定性和机械危险</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内部布线</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电源连接和外部软线</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外部导线用接线端子</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耐热和耐燃</w:t>
            </w:r>
          </w:p>
        </w:tc>
        <w:tc>
          <w:tcPr>
            <w:tcW w:w="2562" w:type="dxa"/>
            <w:vMerge w:val="continue"/>
            <w:vAlign w:val="center"/>
          </w:tcPr>
          <w:p>
            <w:pPr>
              <w:spacing w:line="576" w:lineRule="exact"/>
              <w:jc w:val="center"/>
              <w:rPr>
                <w:rFonts w:hint="default" w:ascii="Times New Roman" w:hAnsi="Times New Roman" w:eastAsia="方正仿宋_GBK" w:cs="Times New Roman"/>
                <w:szCs w:val="21"/>
              </w:rPr>
            </w:pPr>
          </w:p>
        </w:tc>
        <w:tc>
          <w:tcPr>
            <w:tcW w:w="2428" w:type="dxa"/>
            <w:vMerge w:val="continue"/>
            <w:vAlign w:val="center"/>
          </w:tcPr>
          <w:p>
            <w:pPr>
              <w:spacing w:line="576" w:lineRule="exact"/>
              <w:jc w:val="center"/>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待机功率</w:t>
            </w:r>
          </w:p>
        </w:tc>
        <w:tc>
          <w:tcPr>
            <w:tcW w:w="2562" w:type="dxa"/>
            <w:vMerge w:val="restart"/>
            <w:vAlign w:val="center"/>
          </w:tcPr>
          <w:p>
            <w:pPr>
              <w:spacing w:line="576"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GB/T 18801-2005《空气净化器》</w:t>
            </w:r>
          </w:p>
        </w:tc>
        <w:tc>
          <w:tcPr>
            <w:tcW w:w="2428" w:type="dxa"/>
            <w:vMerge w:val="restart"/>
            <w:vAlign w:val="center"/>
          </w:tcPr>
          <w:p>
            <w:pPr>
              <w:spacing w:line="576"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GB/T 18801-2005《空气净化器》</w:t>
            </w: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有害物质-PM10</w:t>
            </w:r>
          </w:p>
        </w:tc>
        <w:tc>
          <w:tcPr>
            <w:tcW w:w="2562" w:type="dxa"/>
            <w:vMerge w:val="continue"/>
            <w:vAlign w:val="center"/>
          </w:tcPr>
          <w:p>
            <w:pPr>
              <w:spacing w:line="576" w:lineRule="exact"/>
              <w:jc w:val="left"/>
              <w:rPr>
                <w:rFonts w:hint="default" w:ascii="Times New Roman" w:hAnsi="Times New Roman" w:eastAsia="方正仿宋_GBK" w:cs="Times New Roman"/>
                <w:szCs w:val="21"/>
              </w:rPr>
            </w:pPr>
          </w:p>
        </w:tc>
        <w:tc>
          <w:tcPr>
            <w:tcW w:w="2428" w:type="dxa"/>
            <w:vMerge w:val="continue"/>
            <w:vAlign w:val="center"/>
          </w:tcPr>
          <w:p>
            <w:pPr>
              <w:spacing w:line="576" w:lineRule="exact"/>
              <w:jc w:val="left"/>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有害物质-臭氧</w:t>
            </w:r>
          </w:p>
        </w:tc>
        <w:tc>
          <w:tcPr>
            <w:tcW w:w="2562" w:type="dxa"/>
            <w:vMerge w:val="continue"/>
            <w:vAlign w:val="center"/>
          </w:tcPr>
          <w:p>
            <w:pPr>
              <w:spacing w:line="576" w:lineRule="exact"/>
              <w:jc w:val="left"/>
              <w:rPr>
                <w:rFonts w:hint="default" w:ascii="Times New Roman" w:hAnsi="Times New Roman" w:eastAsia="方正仿宋_GBK" w:cs="Times New Roman"/>
                <w:szCs w:val="21"/>
              </w:rPr>
            </w:pPr>
          </w:p>
        </w:tc>
        <w:tc>
          <w:tcPr>
            <w:tcW w:w="2428" w:type="dxa"/>
            <w:vMerge w:val="continue"/>
            <w:vAlign w:val="center"/>
          </w:tcPr>
          <w:p>
            <w:pPr>
              <w:spacing w:line="576" w:lineRule="exact"/>
              <w:jc w:val="left"/>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洁净空气量（颗粒物）</w:t>
            </w:r>
          </w:p>
        </w:tc>
        <w:tc>
          <w:tcPr>
            <w:tcW w:w="2562" w:type="dxa"/>
            <w:vMerge w:val="continue"/>
            <w:vAlign w:val="center"/>
          </w:tcPr>
          <w:p>
            <w:pPr>
              <w:spacing w:line="576" w:lineRule="exact"/>
              <w:jc w:val="left"/>
              <w:rPr>
                <w:rFonts w:hint="default" w:ascii="Times New Roman" w:hAnsi="Times New Roman" w:eastAsia="方正仿宋_GBK" w:cs="Times New Roman"/>
                <w:szCs w:val="21"/>
              </w:rPr>
            </w:pPr>
          </w:p>
        </w:tc>
        <w:tc>
          <w:tcPr>
            <w:tcW w:w="2428" w:type="dxa"/>
            <w:vMerge w:val="continue"/>
            <w:vAlign w:val="center"/>
          </w:tcPr>
          <w:p>
            <w:pPr>
              <w:spacing w:line="576" w:lineRule="exact"/>
              <w:jc w:val="left"/>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净化能效（颗粒物）</w:t>
            </w:r>
          </w:p>
        </w:tc>
        <w:tc>
          <w:tcPr>
            <w:tcW w:w="2562" w:type="dxa"/>
            <w:vMerge w:val="continue"/>
            <w:vAlign w:val="center"/>
          </w:tcPr>
          <w:p>
            <w:pPr>
              <w:spacing w:line="576" w:lineRule="exact"/>
              <w:jc w:val="left"/>
              <w:rPr>
                <w:rFonts w:hint="default" w:ascii="Times New Roman" w:hAnsi="Times New Roman" w:eastAsia="方正仿宋_GBK" w:cs="Times New Roman"/>
                <w:szCs w:val="21"/>
              </w:rPr>
            </w:pPr>
          </w:p>
        </w:tc>
        <w:tc>
          <w:tcPr>
            <w:tcW w:w="2428" w:type="dxa"/>
            <w:vMerge w:val="continue"/>
            <w:vAlign w:val="center"/>
          </w:tcPr>
          <w:p>
            <w:pPr>
              <w:spacing w:line="576" w:lineRule="exact"/>
              <w:jc w:val="left"/>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177" w:type="dxa"/>
            <w:vMerge w:val="continue"/>
            <w:vAlign w:val="center"/>
          </w:tcPr>
          <w:p>
            <w:pPr>
              <w:spacing w:line="576" w:lineRule="exact"/>
              <w:jc w:val="center"/>
              <w:rPr>
                <w:rFonts w:hint="default" w:ascii="Times New Roman" w:hAnsi="Times New Roman" w:eastAsia="方正仿宋_GBK" w:cs="Times New Roman"/>
                <w:szCs w:val="21"/>
              </w:rPr>
            </w:pPr>
          </w:p>
        </w:tc>
        <w:tc>
          <w:tcPr>
            <w:tcW w:w="1611"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噪声</w:t>
            </w:r>
          </w:p>
        </w:tc>
        <w:tc>
          <w:tcPr>
            <w:tcW w:w="2562" w:type="dxa"/>
            <w:vMerge w:val="continue"/>
            <w:vAlign w:val="center"/>
          </w:tcPr>
          <w:p>
            <w:pPr>
              <w:spacing w:line="576" w:lineRule="exact"/>
              <w:jc w:val="left"/>
              <w:rPr>
                <w:rFonts w:hint="default" w:ascii="Times New Roman" w:hAnsi="Times New Roman" w:eastAsia="方正仿宋_GBK" w:cs="Times New Roman"/>
                <w:szCs w:val="21"/>
              </w:rPr>
            </w:pPr>
          </w:p>
        </w:tc>
        <w:tc>
          <w:tcPr>
            <w:tcW w:w="2428" w:type="dxa"/>
            <w:vMerge w:val="continue"/>
            <w:vAlign w:val="center"/>
          </w:tcPr>
          <w:p>
            <w:pPr>
              <w:spacing w:line="576" w:lineRule="exact"/>
              <w:jc w:val="left"/>
              <w:rPr>
                <w:rFonts w:hint="default" w:ascii="Times New Roman" w:hAnsi="Times New Roman" w:eastAsia="方正仿宋_GBK" w:cs="Times New Roman"/>
                <w:szCs w:val="21"/>
              </w:rPr>
            </w:pPr>
          </w:p>
        </w:tc>
        <w:tc>
          <w:tcPr>
            <w:tcW w:w="992"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bl>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三、监督抽查结果分析</w:t>
      </w:r>
    </w:p>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（一）综合分析</w:t>
      </w:r>
    </w:p>
    <w:p>
      <w:pPr>
        <w:spacing w:line="576" w:lineRule="exact"/>
        <w:ind w:firstLine="684" w:firstLineChars="214"/>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1.按样品来源</w:t>
      </w:r>
    </w:p>
    <w:p>
      <w:pPr>
        <w:spacing w:line="576" w:lineRule="exact"/>
        <w:ind w:firstLine="684" w:firstLineChars="214"/>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本次专项监督抽查，共抽取9家经销企业</w:t>
      </w:r>
      <w:r>
        <w:rPr>
          <w:rFonts w:hint="default" w:ascii="Times New Roman" w:hAnsi="Times New Roman" w:eastAsia="方正仿宋_GBK" w:cs="Times New Roman"/>
          <w:bCs/>
          <w:sz w:val="32"/>
          <w:szCs w:val="32"/>
        </w:rPr>
        <w:t>10</w:t>
      </w:r>
      <w:r>
        <w:rPr>
          <w:rFonts w:hint="default" w:ascii="Times New Roman" w:hAnsi="Times New Roman" w:eastAsia="方正仿宋_GBK" w:cs="Times New Roman"/>
          <w:bCs/>
          <w:sz w:val="32"/>
          <w:szCs w:val="32"/>
        </w:rPr>
        <w:t>批次产品，经检验，全部合格，合格</w:t>
      </w:r>
      <w:r>
        <w:rPr>
          <w:rFonts w:hint="default" w:ascii="Times New Roman" w:hAnsi="Times New Roman" w:eastAsia="方正仿宋_GBK" w:cs="Times New Roman"/>
          <w:sz w:val="32"/>
          <w:szCs w:val="32"/>
        </w:rPr>
        <w:t>率100%。不同样品来源抽检结果见表3。</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表3 不同样品来源抽检结果</w:t>
      </w:r>
    </w:p>
    <w:tbl>
      <w:tblPr>
        <w:tblStyle w:val="7"/>
        <w:tblW w:w="834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75"/>
        <w:gridCol w:w="1418"/>
        <w:gridCol w:w="1559"/>
        <w:gridCol w:w="1418"/>
        <w:gridCol w:w="1265"/>
        <w:gridCol w:w="14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产品类别</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抽样</w:t>
            </w:r>
            <w:r>
              <w:rPr>
                <w:rFonts w:hint="default" w:ascii="Times New Roman" w:hAnsi="Times New Roman" w:eastAsia="宋体" w:cs="Times New Roman"/>
                <w:color w:val="000000"/>
                <w:kern w:val="0"/>
              </w:rPr>
              <w:t>领域</w:t>
            </w:r>
          </w:p>
        </w:tc>
        <w:tc>
          <w:tcPr>
            <w:tcW w:w="1559"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抽样地点</w:t>
            </w:r>
          </w:p>
        </w:tc>
        <w:tc>
          <w:tcPr>
            <w:tcW w:w="141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检验批次数</w:t>
            </w:r>
          </w:p>
        </w:tc>
        <w:tc>
          <w:tcPr>
            <w:tcW w:w="1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合格批次数</w:t>
            </w:r>
          </w:p>
        </w:tc>
        <w:tc>
          <w:tcPr>
            <w:tcW w:w="14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合格率（%）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vMerge w:val="restart"/>
            <w:tcBorders>
              <w:top w:val="nil"/>
              <w:left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空气净化器</w:t>
            </w:r>
          </w:p>
        </w:tc>
        <w:tc>
          <w:tcPr>
            <w:tcW w:w="141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p>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实体店</w:t>
            </w:r>
          </w:p>
          <w:p>
            <w:pPr>
              <w:spacing w:line="576" w:lineRule="exact"/>
              <w:jc w:val="center"/>
              <w:rPr>
                <w:rFonts w:hint="default" w:ascii="Times New Roman" w:hAnsi="Times New Roman" w:eastAsia="方正仿宋_GBK" w:cs="Times New Roman"/>
                <w:szCs w:val="21"/>
              </w:rPr>
            </w:pPr>
          </w:p>
        </w:tc>
        <w:tc>
          <w:tcPr>
            <w:tcW w:w="1559"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大丰区</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41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vMerge w:val="continue"/>
            <w:tcBorders>
              <w:left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p>
        </w:tc>
        <w:tc>
          <w:tcPr>
            <w:tcW w:w="1418" w:type="dxa"/>
            <w:vMerge w:val="continue"/>
            <w:tcBorders>
              <w:left w:val="single" w:color="auto" w:sz="4" w:space="0"/>
              <w:right w:val="single" w:color="auto" w:sz="4"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p>
        </w:tc>
        <w:tc>
          <w:tcPr>
            <w:tcW w:w="1559"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盐南高新区</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41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vMerge w:val="continue"/>
            <w:tcBorders>
              <w:left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p>
        </w:tc>
        <w:tc>
          <w:tcPr>
            <w:tcW w:w="1418" w:type="dxa"/>
            <w:vMerge w:val="continue"/>
            <w:tcBorders>
              <w:left w:val="single" w:color="auto" w:sz="4" w:space="0"/>
              <w:right w:val="single" w:color="auto" w:sz="4"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p>
        </w:tc>
        <w:tc>
          <w:tcPr>
            <w:tcW w:w="1559"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盐都区</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410" w:type="dxa"/>
            <w:tcBorders>
              <w:top w:val="nil"/>
              <w:left w:val="nil"/>
              <w:bottom w:val="single" w:color="auto" w:sz="6" w:space="0"/>
              <w:right w:val="single" w:color="auto" w:sz="6"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vMerge w:val="continue"/>
            <w:tcBorders>
              <w:left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p>
        </w:tc>
        <w:tc>
          <w:tcPr>
            <w:tcW w:w="1418" w:type="dxa"/>
            <w:vMerge w:val="continue"/>
            <w:tcBorders>
              <w:left w:val="single" w:color="auto" w:sz="4" w:space="0"/>
              <w:bottom w:val="single" w:color="auto" w:sz="4" w:space="0"/>
              <w:right w:val="single" w:color="auto" w:sz="4"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p>
        </w:tc>
        <w:tc>
          <w:tcPr>
            <w:tcW w:w="1559"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建湖</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410" w:type="dxa"/>
            <w:tcBorders>
              <w:top w:val="nil"/>
              <w:left w:val="nil"/>
              <w:bottom w:val="single" w:color="auto" w:sz="6" w:space="0"/>
              <w:right w:val="single" w:color="auto" w:sz="6"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vMerge w:val="continue"/>
            <w:tcBorders>
              <w:left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p>
        </w:tc>
        <w:tc>
          <w:tcPr>
            <w:tcW w:w="141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电商平台</w:t>
            </w:r>
          </w:p>
        </w:tc>
        <w:tc>
          <w:tcPr>
            <w:tcW w:w="1559"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京东</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410" w:type="dxa"/>
            <w:tcBorders>
              <w:top w:val="nil"/>
              <w:left w:val="nil"/>
              <w:bottom w:val="single" w:color="auto" w:sz="6" w:space="0"/>
              <w:right w:val="single" w:color="auto" w:sz="6"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75" w:type="dxa"/>
            <w:vMerge w:val="continue"/>
            <w:tcBorders>
              <w:left w:val="single" w:color="auto" w:sz="6" w:space="0"/>
              <w:bottom w:val="single" w:color="auto" w:sz="6" w:space="0"/>
              <w:right w:val="single" w:color="auto" w:sz="4"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p>
        </w:tc>
        <w:tc>
          <w:tcPr>
            <w:tcW w:w="1418" w:type="dxa"/>
            <w:vMerge w:val="continue"/>
            <w:tcBorders>
              <w:left w:val="single" w:color="auto" w:sz="4" w:space="0"/>
              <w:bottom w:val="single" w:color="auto" w:sz="4" w:space="0"/>
              <w:right w:val="single" w:color="auto" w:sz="4"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p>
        </w:tc>
        <w:tc>
          <w:tcPr>
            <w:tcW w:w="1559"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1688</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410" w:type="dxa"/>
            <w:tcBorders>
              <w:top w:val="nil"/>
              <w:left w:val="nil"/>
              <w:bottom w:val="single" w:color="auto" w:sz="6" w:space="0"/>
              <w:right w:val="single" w:color="auto" w:sz="6" w:space="0"/>
            </w:tcBorders>
            <w:tcMar>
              <w:top w:w="0" w:type="dxa"/>
              <w:left w:w="105" w:type="dxa"/>
              <w:bottom w:w="0" w:type="dxa"/>
              <w:right w:w="105" w:type="dxa"/>
            </w:tcMa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252" w:type="dxa"/>
            <w:gridSpan w:val="3"/>
            <w:tcBorders>
              <w:top w:val="nil"/>
              <w:left w:val="single" w:color="auto" w:sz="6" w:space="0"/>
              <w:bottom w:val="single" w:color="auto" w:sz="6" w:space="0"/>
              <w:right w:val="single" w:color="auto" w:sz="6" w:space="0"/>
            </w:tcBorders>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总计</w:t>
            </w:r>
          </w:p>
        </w:tc>
        <w:tc>
          <w:tcPr>
            <w:tcW w:w="141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6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41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bl>
    <w:p>
      <w:pPr>
        <w:spacing w:line="576"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2.按价格区间</w:t>
      </w:r>
    </w:p>
    <w:p>
      <w:pPr>
        <w:spacing w:line="576"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本次市级监督抽查抽查实体店和电商</w:t>
      </w:r>
      <w:r>
        <w:rPr>
          <w:rFonts w:hint="default" w:ascii="Times New Roman" w:hAnsi="Times New Roman" w:eastAsia="方正仿宋_GBK" w:cs="Times New Roman"/>
          <w:bCs/>
          <w:sz w:val="32"/>
          <w:szCs w:val="32"/>
        </w:rPr>
        <w:t>10</w:t>
      </w:r>
      <w:r>
        <w:rPr>
          <w:rFonts w:hint="default" w:ascii="Times New Roman" w:hAnsi="Times New Roman" w:eastAsia="方正仿宋_GBK" w:cs="Times New Roman"/>
          <w:bCs/>
          <w:sz w:val="32"/>
          <w:szCs w:val="32"/>
        </w:rPr>
        <w:t>批次样品，按照产品销售价分析监督抽查结果显示，具体检验情况详见表4。</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表4 产品销售价合格率统计</w:t>
      </w:r>
    </w:p>
    <w:tbl>
      <w:tblPr>
        <w:tblStyle w:val="7"/>
        <w:tblW w:w="7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513"/>
        <w:gridCol w:w="1417"/>
        <w:gridCol w:w="154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产品名称</w:t>
            </w:r>
          </w:p>
        </w:tc>
        <w:tc>
          <w:tcPr>
            <w:tcW w:w="1513"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价格区间（元）</w:t>
            </w:r>
          </w:p>
        </w:tc>
        <w:tc>
          <w:tcPr>
            <w:tcW w:w="1417"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检验批次数</w:t>
            </w:r>
          </w:p>
        </w:tc>
        <w:tc>
          <w:tcPr>
            <w:tcW w:w="1545"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合格批次数</w:t>
            </w:r>
          </w:p>
        </w:tc>
        <w:tc>
          <w:tcPr>
            <w:tcW w:w="1558" w:type="dxa"/>
            <w:vAlign w:val="center"/>
          </w:tcPr>
          <w:p>
            <w:pPr>
              <w:spacing w:line="576"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vMerge w:val="restart"/>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空气净化器</w:t>
            </w:r>
          </w:p>
        </w:tc>
        <w:tc>
          <w:tcPr>
            <w:tcW w:w="1513"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500-1000</w:t>
            </w:r>
          </w:p>
        </w:tc>
        <w:tc>
          <w:tcPr>
            <w:tcW w:w="1417"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545"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558"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vMerge w:val="continue"/>
            <w:vAlign w:val="center"/>
          </w:tcPr>
          <w:p>
            <w:pPr>
              <w:spacing w:line="576" w:lineRule="exact"/>
              <w:jc w:val="center"/>
              <w:rPr>
                <w:rFonts w:hint="default" w:ascii="Times New Roman" w:hAnsi="Times New Roman" w:eastAsia="方正仿宋_GBK" w:cs="Times New Roman"/>
                <w:szCs w:val="21"/>
              </w:rPr>
            </w:pPr>
          </w:p>
        </w:tc>
        <w:tc>
          <w:tcPr>
            <w:tcW w:w="1513"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1001-200</w:t>
            </w:r>
            <w:r>
              <w:rPr>
                <w:rFonts w:hint="default" w:ascii="Times New Roman" w:hAnsi="Times New Roman" w:eastAsia="方正仿宋_GBK" w:cs="Times New Roman"/>
                <w:szCs w:val="21"/>
              </w:rPr>
              <w:t>0</w:t>
            </w:r>
          </w:p>
        </w:tc>
        <w:tc>
          <w:tcPr>
            <w:tcW w:w="1417"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1545"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1558"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vMerge w:val="continue"/>
            <w:vAlign w:val="center"/>
          </w:tcPr>
          <w:p>
            <w:pPr>
              <w:spacing w:line="576" w:lineRule="exact"/>
              <w:jc w:val="center"/>
              <w:rPr>
                <w:rFonts w:hint="default" w:ascii="Times New Roman" w:hAnsi="Times New Roman" w:eastAsia="方正仿宋_GBK" w:cs="Times New Roman"/>
                <w:szCs w:val="21"/>
              </w:rPr>
            </w:pPr>
          </w:p>
        </w:tc>
        <w:tc>
          <w:tcPr>
            <w:tcW w:w="1513"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r>
              <w:rPr>
                <w:rFonts w:hint="default" w:ascii="Times New Roman" w:hAnsi="Times New Roman" w:eastAsia="方正仿宋_GBK" w:cs="Times New Roman"/>
                <w:szCs w:val="21"/>
              </w:rPr>
              <w:t>00</w:t>
            </w:r>
            <w:r>
              <w:rPr>
                <w:rFonts w:hint="default" w:ascii="Times New Roman" w:hAnsi="Times New Roman" w:eastAsia="方正仿宋_GBK" w:cs="Times New Roman"/>
                <w:szCs w:val="21"/>
              </w:rPr>
              <w:t>1以上</w:t>
            </w:r>
          </w:p>
        </w:tc>
        <w:tc>
          <w:tcPr>
            <w:tcW w:w="1417"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545"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558"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2"/>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总计</w:t>
            </w:r>
          </w:p>
        </w:tc>
        <w:tc>
          <w:tcPr>
            <w:tcW w:w="1417"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545"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558" w:type="dxa"/>
            <w:vAlign w:val="center"/>
          </w:tcPr>
          <w:p>
            <w:pPr>
              <w:spacing w:line="576"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bl>
    <w:p>
      <w:pPr>
        <w:spacing w:line="576" w:lineRule="exact"/>
        <w:ind w:firstLine="640" w:firstLineChars="20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（二）检验检测项目分析</w:t>
      </w:r>
    </w:p>
    <w:p>
      <w:pPr>
        <w:spacing w:line="576" w:lineRule="exact"/>
        <w:ind w:firstLine="684" w:firstLineChars="214"/>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1.检验检测结果</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本次专项监督抽查共抽查空气净化器</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批次，按照检测项目具体检验情况详见表5。</w:t>
      </w:r>
    </w:p>
    <w:p>
      <w:pPr>
        <w:widowControl/>
        <w:shd w:val="clear" w:color="auto" w:fill="FFFFFF"/>
        <w:spacing w:line="576" w:lineRule="exact"/>
        <w:ind w:firstLine="560" w:firstLineChars="200"/>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表5 不同检测项目合格率统计</w:t>
      </w:r>
    </w:p>
    <w:tbl>
      <w:tblPr>
        <w:tblStyle w:val="7"/>
        <w:tblW w:w="7388" w:type="dxa"/>
        <w:jc w:val="center"/>
        <w:tblLayout w:type="autofit"/>
        <w:tblCellMar>
          <w:top w:w="0" w:type="dxa"/>
          <w:left w:w="0" w:type="dxa"/>
          <w:bottom w:w="0" w:type="dxa"/>
          <w:right w:w="0" w:type="dxa"/>
        </w:tblCellMar>
      </w:tblPr>
      <w:tblGrid>
        <w:gridCol w:w="809"/>
        <w:gridCol w:w="2266"/>
        <w:gridCol w:w="1665"/>
        <w:gridCol w:w="1377"/>
        <w:gridCol w:w="1271"/>
      </w:tblGrid>
      <w:tr>
        <w:tblPrEx>
          <w:tblCellMar>
            <w:top w:w="0" w:type="dxa"/>
            <w:left w:w="0" w:type="dxa"/>
            <w:bottom w:w="0" w:type="dxa"/>
            <w:right w:w="0" w:type="dxa"/>
          </w:tblCellMar>
        </w:tblPrEx>
        <w:trPr>
          <w:trHeight w:val="454" w:hRule="atLeast"/>
          <w:tblHeader/>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序号</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检验项目</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检验批次数</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合格批次数</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合格率（%）</w:t>
            </w:r>
          </w:p>
        </w:tc>
      </w:tr>
      <w:tr>
        <w:tblPrEx>
          <w:tblCellMar>
            <w:top w:w="0" w:type="dxa"/>
            <w:left w:w="0" w:type="dxa"/>
            <w:bottom w:w="0" w:type="dxa"/>
            <w:right w:w="0" w:type="dxa"/>
          </w:tblCellMar>
        </w:tblPrEx>
        <w:trPr>
          <w:trHeight w:val="455"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标志和说明</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2</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输入功率和电流</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3</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电气间隙、爬电距离和固体绝缘</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4</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结构</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5</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机械强度</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6</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工作温度下的泄露电流和电气强度</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7</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稳定性和机械危险</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8</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内部布线</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9</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电源连接和外部软线</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0</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外部导线用接线端子</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1</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耐热和耐燃</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2</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待机功率</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3</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有害物质—PM</w:t>
            </w:r>
            <w:r>
              <w:rPr>
                <w:rFonts w:hint="default" w:ascii="Times New Roman" w:hAnsi="Times New Roman" w:eastAsia="方正仿宋_GBK" w:cs="Times New Roman"/>
                <w:color w:val="auto"/>
                <w:kern w:val="2"/>
                <w:sz w:val="21"/>
                <w:szCs w:val="21"/>
              </w:rPr>
              <w:t>10</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4</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有害物质—臭氧</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5</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洁净空气量（颗粒物）</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6</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净化能效（颗粒物）</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r>
        <w:tblPrEx>
          <w:tblCellMar>
            <w:top w:w="0" w:type="dxa"/>
            <w:left w:w="0" w:type="dxa"/>
            <w:bottom w:w="0" w:type="dxa"/>
            <w:right w:w="0"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1</w:t>
            </w:r>
            <w:r>
              <w:rPr>
                <w:rFonts w:hint="default" w:ascii="Times New Roman" w:hAnsi="Times New Roman" w:eastAsia="方正仿宋_GBK" w:cs="Times New Roman"/>
                <w:color w:val="auto"/>
                <w:kern w:val="2"/>
                <w:sz w:val="21"/>
                <w:szCs w:val="21"/>
              </w:rPr>
              <w:t>7</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line="240" w:lineRule="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噪声</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rPr>
              <w:t>00</w:t>
            </w:r>
          </w:p>
        </w:tc>
      </w:tr>
    </w:tbl>
    <w:p>
      <w:pPr>
        <w:spacing w:line="576" w:lineRule="exact"/>
        <w:ind w:firstLine="640" w:firstLineChars="200"/>
        <w:rPr>
          <w:rFonts w:hint="default" w:ascii="Times New Roman" w:hAnsi="Times New Roman" w:eastAsia="方正仿宋_GBK" w:cs="Times New Roman"/>
          <w:bCs/>
          <w:sz w:val="32"/>
          <w:szCs w:val="32"/>
        </w:rPr>
      </w:pPr>
      <w:bookmarkStart w:id="0" w:name="_GoBack"/>
      <w:bookmarkEnd w:id="0"/>
      <w:r>
        <w:rPr>
          <w:rFonts w:hint="default" w:ascii="Times New Roman" w:hAnsi="Times New Roman" w:eastAsia="方正仿宋_GBK" w:cs="Times New Roman"/>
          <w:bCs/>
          <w:sz w:val="32"/>
          <w:szCs w:val="32"/>
        </w:rPr>
        <w:t>2.容易出现的不合格项目分析</w:t>
      </w:r>
    </w:p>
    <w:p>
      <w:pPr>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本次市级监督抽查抽查</w:t>
      </w:r>
      <w:r>
        <w:rPr>
          <w:rFonts w:hint="default" w:ascii="Times New Roman" w:hAnsi="Times New Roman" w:eastAsia="方正仿宋_GBK" w:cs="Times New Roman"/>
          <w:sz w:val="32"/>
          <w:szCs w:val="32"/>
        </w:rPr>
        <w:t>实体店以及电商</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个批次样品，合格</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个批次，本次监督检验的项目为：标志和说明、输入功率和电流、工作温度下的泄漏电流和电气强度、稳定性和机械危险、机械强度、结构、内部布线、电源连接和外部软线、外部导线用接线端子、电气间隙、爬电距离和固体绝缘、耐热和耐燃、待机功率、有害物质-PM10、有害物质-臭氧、洁净空气量（颗粒物）、净化能效（颗粒物）、噪声。可能出现以下几种不合格项目：（1）空气净化器生产厂家不重视安全标识，导致安全标识漏标或不规范，说明书未按标准要求提供相关警示说明，消费者无法通过标记信息掌握产品的相关信息。（2）在设计时，结构设计不合理，导致在空气净化器运行过程中手指可能触及带电或运动组件，存在安全隐患；残余电压高,使用中可能存在电击风险。（</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实测数据与标称不相符，部分产品实测颗粒物洁净空气量未达标称值的90%，不能起到理想的净化空气作用,颗粒物净化能效偏低；产品标注具备除甲醛能力，但实测得到的甲醛洁净空气量和甲醛净化能效未达到标准要求，不仅起不到净化效果，可能还会带来噪声污染。</w:t>
      </w:r>
    </w:p>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四、消费提示</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（一）空气净化器购买须知</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根据使用的需要，综合考虑功能、价格、外观、售后服务等方面因素来选购：</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选品牌。品牌知名度高的产品，并且注意查看产品标识是否齐全，是否具有三包卡，是否有合格证。正规产品的标识应有如下内容：产品名称、型号、商标、制造商、制造日期或批号、执行标准编号等。</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挑渠道。建议从正规渠道购买空气净化器，通过有授权的品牌专营店、具有生产厂家明确授权标识的电商平台、有信誉的经营者或大型的商场购买正规品牌的产品，同时索取发票，以便维权。若发生消费纠纷请及时向当地有关职能部门或消费者权益保护委员会投诉。</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看新闻。建议关注国家及各地市场监管部门的监督抽查结果和质量风险提示报告，避免采购到有质量缺陷的产品。</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（二）空气净化器使用常识</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空气净化器摆放位置的不当可能会导致其净化效率大大降低。</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在医疗等电磁设备使用密集的场所，尽量减少空气净化器的使用，以免造成对其此类重要设备的电磁干扰。</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使用时应当与空气净化器保持适当距离，更不要随便通电拆解机器。</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要定期打扫滤网，加湿型空气净化器还需要及时清洗水槽。</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及时更换滤芯，保障空气净化器的净化性能。</w:t>
      </w:r>
    </w:p>
    <w:p>
      <w:pPr>
        <w:widowControl/>
        <w:shd w:val="clear" w:color="auto" w:fill="FFFFFF"/>
        <w:spacing w:line="576" w:lineRule="exact"/>
        <w:ind w:firstLine="640" w:firstLineChars="200"/>
        <w:jc w:val="left"/>
        <w:rPr>
          <w:rFonts w:hint="default" w:ascii="Times New Roman" w:hAnsi="Times New Roman" w:eastAsia="方正仿宋_GBK" w:cs="Times New Roman"/>
          <w:sz w:val="32"/>
          <w:szCs w:val="32"/>
        </w:rPr>
      </w:pP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4175AC-B47E-403A-AD04-DD529C5DD5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9AFAD493-7405-4239-8DE0-3B5F32E98E88}"/>
  </w:font>
  <w:font w:name="方正小标宋_GBK">
    <w:panose1 w:val="03000509000000000000"/>
    <w:charset w:val="86"/>
    <w:family w:val="script"/>
    <w:pitch w:val="default"/>
    <w:sig w:usb0="00000001" w:usb1="080E0000" w:usb2="00000000" w:usb3="00000000" w:csb0="00040000" w:csb1="00000000"/>
    <w:embedRegular r:id="rId3" w:fontKey="{22E8E238-3E43-4FFA-859C-9463A34B3E20}"/>
  </w:font>
  <w:font w:name="方正仿宋_GBK">
    <w:panose1 w:val="03000509000000000000"/>
    <w:charset w:val="86"/>
    <w:family w:val="script"/>
    <w:pitch w:val="default"/>
    <w:sig w:usb0="00000001" w:usb1="080E0000" w:usb2="00000000" w:usb3="00000000" w:csb0="00040000" w:csb1="00000000"/>
    <w:embedRegular r:id="rId4" w:fontKey="{59D7E206-4D39-4A9F-85FB-95C712023539}"/>
  </w:font>
  <w:font w:name="方正楷体_GBK">
    <w:panose1 w:val="03000509000000000000"/>
    <w:charset w:val="86"/>
    <w:family w:val="script"/>
    <w:pitch w:val="default"/>
    <w:sig w:usb0="00000001" w:usb1="080E0000" w:usb2="00000000" w:usb3="00000000" w:csb0="00040000" w:csb1="00000000"/>
    <w:embedRegular r:id="rId5" w:fontKey="{20712AA1-78D4-4806-9B2B-B865111169A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7F30"/>
    <w:rsid w:val="00015DC1"/>
    <w:rsid w:val="00021CD9"/>
    <w:rsid w:val="00031FBB"/>
    <w:rsid w:val="00040779"/>
    <w:rsid w:val="00047ACC"/>
    <w:rsid w:val="00056981"/>
    <w:rsid w:val="00060BD6"/>
    <w:rsid w:val="00073642"/>
    <w:rsid w:val="00080075"/>
    <w:rsid w:val="000E04A3"/>
    <w:rsid w:val="000E3BBB"/>
    <w:rsid w:val="001055E1"/>
    <w:rsid w:val="00122630"/>
    <w:rsid w:val="001274A2"/>
    <w:rsid w:val="00165054"/>
    <w:rsid w:val="00170A51"/>
    <w:rsid w:val="00171BFF"/>
    <w:rsid w:val="001B09AC"/>
    <w:rsid w:val="001B135A"/>
    <w:rsid w:val="001D09DC"/>
    <w:rsid w:val="001F0E8C"/>
    <w:rsid w:val="00217D6D"/>
    <w:rsid w:val="002352D8"/>
    <w:rsid w:val="0023631A"/>
    <w:rsid w:val="0025763E"/>
    <w:rsid w:val="002A4505"/>
    <w:rsid w:val="002B6676"/>
    <w:rsid w:val="002D56CE"/>
    <w:rsid w:val="0030476B"/>
    <w:rsid w:val="00310AB5"/>
    <w:rsid w:val="003130DB"/>
    <w:rsid w:val="00330342"/>
    <w:rsid w:val="00337139"/>
    <w:rsid w:val="003B1B82"/>
    <w:rsid w:val="00443A33"/>
    <w:rsid w:val="00470A4E"/>
    <w:rsid w:val="00486FD2"/>
    <w:rsid w:val="00487972"/>
    <w:rsid w:val="004A076F"/>
    <w:rsid w:val="004B4491"/>
    <w:rsid w:val="004F7CB5"/>
    <w:rsid w:val="00541C63"/>
    <w:rsid w:val="005460F4"/>
    <w:rsid w:val="00552027"/>
    <w:rsid w:val="00555584"/>
    <w:rsid w:val="005969D1"/>
    <w:rsid w:val="005B65D8"/>
    <w:rsid w:val="005D6D07"/>
    <w:rsid w:val="00647CC7"/>
    <w:rsid w:val="006667FC"/>
    <w:rsid w:val="006A3B45"/>
    <w:rsid w:val="006A4718"/>
    <w:rsid w:val="006C3490"/>
    <w:rsid w:val="006E2BD4"/>
    <w:rsid w:val="006F2101"/>
    <w:rsid w:val="007019F2"/>
    <w:rsid w:val="0074199C"/>
    <w:rsid w:val="00743365"/>
    <w:rsid w:val="00745E71"/>
    <w:rsid w:val="007C1645"/>
    <w:rsid w:val="007C22CC"/>
    <w:rsid w:val="007C3348"/>
    <w:rsid w:val="007D1C88"/>
    <w:rsid w:val="00811197"/>
    <w:rsid w:val="008279E7"/>
    <w:rsid w:val="00832047"/>
    <w:rsid w:val="00832882"/>
    <w:rsid w:val="008467B4"/>
    <w:rsid w:val="00851E9C"/>
    <w:rsid w:val="0085782A"/>
    <w:rsid w:val="008A7F0E"/>
    <w:rsid w:val="008D4715"/>
    <w:rsid w:val="00992158"/>
    <w:rsid w:val="009947BC"/>
    <w:rsid w:val="009D46DC"/>
    <w:rsid w:val="009E5E54"/>
    <w:rsid w:val="009F3EDD"/>
    <w:rsid w:val="00A1250B"/>
    <w:rsid w:val="00A21581"/>
    <w:rsid w:val="00A35610"/>
    <w:rsid w:val="00A5359E"/>
    <w:rsid w:val="00A65F77"/>
    <w:rsid w:val="00AB5F3B"/>
    <w:rsid w:val="00AE57DB"/>
    <w:rsid w:val="00AF115D"/>
    <w:rsid w:val="00AF159E"/>
    <w:rsid w:val="00AF21A6"/>
    <w:rsid w:val="00B4754D"/>
    <w:rsid w:val="00B57027"/>
    <w:rsid w:val="00BD2A14"/>
    <w:rsid w:val="00BE254D"/>
    <w:rsid w:val="00C16489"/>
    <w:rsid w:val="00C477DC"/>
    <w:rsid w:val="00C53924"/>
    <w:rsid w:val="00C53995"/>
    <w:rsid w:val="00C613DA"/>
    <w:rsid w:val="00C61570"/>
    <w:rsid w:val="00C74BED"/>
    <w:rsid w:val="00C92FAC"/>
    <w:rsid w:val="00CA535D"/>
    <w:rsid w:val="00CA76FD"/>
    <w:rsid w:val="00CC3150"/>
    <w:rsid w:val="00CC443C"/>
    <w:rsid w:val="00CD1E0C"/>
    <w:rsid w:val="00CD257F"/>
    <w:rsid w:val="00D030E4"/>
    <w:rsid w:val="00D1056F"/>
    <w:rsid w:val="00D210D0"/>
    <w:rsid w:val="00D34C99"/>
    <w:rsid w:val="00D3735B"/>
    <w:rsid w:val="00D50392"/>
    <w:rsid w:val="00D55B28"/>
    <w:rsid w:val="00D64A18"/>
    <w:rsid w:val="00D66972"/>
    <w:rsid w:val="00D82193"/>
    <w:rsid w:val="00D825A9"/>
    <w:rsid w:val="00D829A3"/>
    <w:rsid w:val="00D87569"/>
    <w:rsid w:val="00DA2606"/>
    <w:rsid w:val="00DA34D0"/>
    <w:rsid w:val="00DA37A3"/>
    <w:rsid w:val="00DC6CC3"/>
    <w:rsid w:val="00DC7F30"/>
    <w:rsid w:val="00DD0186"/>
    <w:rsid w:val="00DF5D2F"/>
    <w:rsid w:val="00E07A9C"/>
    <w:rsid w:val="00E264DC"/>
    <w:rsid w:val="00E32738"/>
    <w:rsid w:val="00E63A52"/>
    <w:rsid w:val="00E65EAB"/>
    <w:rsid w:val="00ED57E6"/>
    <w:rsid w:val="00F2466F"/>
    <w:rsid w:val="00F36967"/>
    <w:rsid w:val="00F4077C"/>
    <w:rsid w:val="00F56440"/>
    <w:rsid w:val="00F91DFA"/>
    <w:rsid w:val="00F96352"/>
    <w:rsid w:val="00FD6391"/>
    <w:rsid w:val="00FD7E9F"/>
    <w:rsid w:val="00FF37F1"/>
    <w:rsid w:val="0E4376CB"/>
    <w:rsid w:val="14534A3E"/>
    <w:rsid w:val="1EBC16FA"/>
    <w:rsid w:val="4E81737B"/>
    <w:rsid w:val="4EF06A90"/>
    <w:rsid w:val="4FC57F83"/>
    <w:rsid w:val="50C52625"/>
    <w:rsid w:val="65A75875"/>
    <w:rsid w:val="6C295ABC"/>
    <w:rsid w:val="6D3F0A57"/>
    <w:rsid w:val="783064DA"/>
    <w:rsid w:val="7B476DAF"/>
    <w:rsid w:val="7CBE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djustRightInd w:val="0"/>
      <w:snapToGrid w:val="0"/>
      <w:spacing w:line="360" w:lineRule="auto"/>
      <w:ind w:firstLine="200" w:firstLineChars="200"/>
    </w:pPr>
    <w:rPr>
      <w:rFonts w:ascii="Times New Roman" w:hAnsi="Times New Roman" w:eastAsia="宋体" w:cs="Times New Roman"/>
      <w:sz w:val="32"/>
      <w:szCs w:val="32"/>
    </w:rPr>
  </w:style>
  <w:style w:type="paragraph" w:styleId="3">
    <w:name w:val="Plain Text"/>
    <w:basedOn w:val="1"/>
    <w:link w:val="14"/>
    <w:qFormat/>
    <w:uiPriority w:val="0"/>
    <w:pPr>
      <w:autoSpaceDE w:val="0"/>
      <w:autoSpaceDN w:val="0"/>
      <w:adjustRightInd w:val="0"/>
      <w:jc w:val="left"/>
    </w:pPr>
    <w:rPr>
      <w:rFonts w:ascii="宋体" w:hAnsi="Courier New" w:eastAsia="宋体" w:cs="Times New Roman"/>
      <w:kern w:val="0"/>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customStyle="1" w:styleId="9">
    <w:name w:val="正文文本 Char"/>
    <w:basedOn w:val="8"/>
    <w:link w:val="2"/>
    <w:qFormat/>
    <w:uiPriority w:val="1"/>
    <w:rPr>
      <w:rFonts w:ascii="Times New Roman" w:hAnsi="Times New Roman" w:eastAsia="宋体" w:cs="Times New Roman"/>
      <w:sz w:val="32"/>
      <w:szCs w:val="32"/>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 + (西文) Times New Roman Char"/>
    <w:link w:val="13"/>
    <w:qFormat/>
    <w:uiPriority w:val="99"/>
    <w:rPr>
      <w:rFonts w:ascii="仿宋_GB2312" w:hAnsi="宋体" w:eastAsia="仿宋_GB2312" w:cs="仿宋_GB2312"/>
      <w:color w:val="000000"/>
      <w:sz w:val="28"/>
      <w:szCs w:val="28"/>
    </w:rPr>
  </w:style>
  <w:style w:type="paragraph" w:customStyle="1" w:styleId="13">
    <w:name w:val="正文 + (西文) Times New Roman"/>
    <w:basedOn w:val="6"/>
    <w:link w:val="12"/>
    <w:qFormat/>
    <w:uiPriority w:val="99"/>
    <w:pPr>
      <w:widowControl/>
      <w:spacing w:line="360" w:lineRule="auto"/>
      <w:ind w:firstLine="560" w:firstLineChars="200"/>
      <w:jc w:val="left"/>
    </w:pPr>
    <w:rPr>
      <w:rFonts w:ascii="仿宋_GB2312" w:hAnsi="宋体" w:eastAsia="仿宋_GB2312" w:cs="仿宋_GB2312"/>
      <w:color w:val="000000"/>
      <w:sz w:val="28"/>
      <w:szCs w:val="28"/>
    </w:rPr>
  </w:style>
  <w:style w:type="character" w:customStyle="1" w:styleId="14">
    <w:name w:val="纯文本 Char"/>
    <w:basedOn w:val="8"/>
    <w:link w:val="3"/>
    <w:qFormat/>
    <w:uiPriority w:val="0"/>
    <w:rPr>
      <w:rFonts w:ascii="宋体" w:hAnsi="Courier New" w:eastAsia="宋体" w:cs="Times New Roman"/>
      <w:kern w:val="0"/>
      <w:szCs w:val="21"/>
    </w:rPr>
  </w:style>
  <w:style w:type="paragraph" w:customStyle="1" w:styleId="15">
    <w:name w:val="表格"/>
    <w:basedOn w:val="1"/>
    <w:qFormat/>
    <w:uiPriority w:val="0"/>
    <w:pPr>
      <w:widowControl/>
      <w:spacing w:line="240" w:lineRule="atLeast"/>
      <w:jc w:val="center"/>
    </w:pPr>
    <w:rPr>
      <w:rFonts w:ascii="宋体" w:hAnsi="宋体"/>
      <w:color w:val="000000"/>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3175</Words>
  <Characters>734</Characters>
  <Lines>6</Lines>
  <Paragraphs>7</Paragraphs>
  <TotalTime>1</TotalTime>
  <ScaleCrop>false</ScaleCrop>
  <LinksUpToDate>false</LinksUpToDate>
  <CharactersWithSpaces>3902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2021-11-01T03:25:00Z</dcterms:created>
  <dc:creator>user</dc:creator>
  <cp:lastModifiedBy>王新生</cp:lastModifiedBy>
  <dcterms:modified xsi:type="dcterms:W3CDTF">2021-11-12T02:34:54Z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77A1B96017E9435E90C5698CB951C568</vt:lpwstr>
  </property>
</Properties>
</file>