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ascii="Times New Roman" w:hAnsi="Times New Roman" w:eastAsia="仿宋" w:cs="Times New Roman"/>
          <w:sz w:val="32"/>
          <w:szCs w:val="32"/>
        </w:rPr>
      </w:pPr>
    </w:p>
    <w:tbl>
      <w:tblPr>
        <w:tblStyle w:val="5"/>
        <w:tblpPr w:leftFromText="180" w:rightFromText="180" w:vertAnchor="text" w:horzAnchor="margin" w:tblpXSpec="center" w:tblpY="151"/>
        <w:tblW w:w="9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39"/>
        <w:gridCol w:w="3703"/>
        <w:gridCol w:w="3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编码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HEBMPA-C-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-00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违法行为</w:t>
            </w:r>
          </w:p>
        </w:tc>
        <w:tc>
          <w:tcPr>
            <w:tcW w:w="8513" w:type="dxa"/>
            <w:gridSpan w:val="3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color w:val="191919"/>
                <w:sz w:val="24"/>
                <w:szCs w:val="24"/>
              </w:rPr>
              <w:t>在申请医疗器械行政许可时提供虚假资料或者采取其他欺骗手段。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31" w:hRule="atLeast"/>
        </w:trPr>
        <w:tc>
          <w:tcPr>
            <w:tcW w:w="130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违法依据</w:t>
            </w:r>
          </w:p>
        </w:tc>
        <w:tc>
          <w:tcPr>
            <w:tcW w:w="8513" w:type="dxa"/>
            <w:gridSpan w:val="3"/>
          </w:tcPr>
          <w:p>
            <w:pPr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1.</w:t>
            </w:r>
            <w:r>
              <w:rPr>
                <w:rFonts w:ascii="Times New Roman" w:hAnsi="仿宋" w:eastAsia="仿宋" w:cs="Times New Roman"/>
                <w:sz w:val="24"/>
              </w:rPr>
              <w:t>《</w:t>
            </w:r>
            <w:r>
              <w:rPr>
                <w:rFonts w:ascii="Times New Roman" w:hAnsi="仿宋" w:eastAsia="仿宋" w:cs="Times New Roman"/>
                <w:bCs/>
                <w:sz w:val="24"/>
              </w:rPr>
              <w:t>中华人民共和国行政许可法</w:t>
            </w:r>
            <w:r>
              <w:rPr>
                <w:rFonts w:ascii="Times New Roman" w:hAnsi="仿宋" w:eastAsia="仿宋" w:cs="Times New Roman"/>
                <w:sz w:val="24"/>
              </w:rPr>
              <w:t>》</w:t>
            </w:r>
            <w:r>
              <w:rPr>
                <w:rFonts w:ascii="Times New Roman" w:hAnsi="仿宋" w:eastAsia="仿宋" w:cs="Times New Roman"/>
                <w:bCs/>
                <w:sz w:val="24"/>
              </w:rPr>
              <w:t>第七十八条</w:t>
            </w:r>
            <w:r>
              <w:rPr>
                <w:rFonts w:ascii="Times New Roman" w:hAnsi="Times New Roman" w:eastAsia="仿宋" w:cs="Times New Roman"/>
                <w:bCs/>
                <w:sz w:val="24"/>
              </w:rPr>
              <w:t xml:space="preserve"> </w:t>
            </w:r>
            <w:r>
              <w:rPr>
                <w:rFonts w:ascii="Times New Roman" w:hAnsi="仿宋" w:eastAsia="仿宋" w:cs="Times New Roman"/>
                <w:sz w:val="24"/>
              </w:rPr>
              <w:t>行政许可申请人隐瞒有关情况或者提供虚假材料申请行政许可的，行政机关不予受理或者不予行政许可，并给予警告；行政许可申请属于直接关系公共安全、人身健康、生命财产安全事项的，申请人在一年内不得再次申请该行政许可。</w:t>
            </w:r>
          </w:p>
          <w:p>
            <w:pPr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2.</w:t>
            </w:r>
            <w:r>
              <w:rPr>
                <w:rFonts w:ascii="Times New Roman" w:hAnsi="仿宋" w:eastAsia="仿宋" w:cs="Times New Roman"/>
                <w:sz w:val="24"/>
              </w:rPr>
              <w:t>《</w:t>
            </w:r>
            <w:r>
              <w:rPr>
                <w:rFonts w:ascii="Times New Roman" w:hAnsi="仿宋" w:eastAsia="仿宋" w:cs="Times New Roman"/>
                <w:bCs/>
                <w:sz w:val="24"/>
              </w:rPr>
              <w:t>中华人民共和国行政许可法</w:t>
            </w:r>
            <w:r>
              <w:rPr>
                <w:rFonts w:ascii="Times New Roman" w:hAnsi="仿宋" w:eastAsia="仿宋" w:cs="Times New Roman"/>
                <w:sz w:val="24"/>
              </w:rPr>
              <w:t>》</w:t>
            </w:r>
            <w:r>
              <w:rPr>
                <w:rFonts w:ascii="Times New Roman" w:hAnsi="仿宋" w:eastAsia="仿宋" w:cs="Times New Roman"/>
                <w:bCs/>
                <w:sz w:val="24"/>
              </w:rPr>
              <w:t>第七十九条</w:t>
            </w: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仿宋" w:eastAsia="仿宋" w:cs="Times New Roman"/>
                <w:bCs/>
                <w:sz w:val="24"/>
              </w:rPr>
              <w:t>被许可人以欺骗、贿赂等不正当手段取得行政许可的，行政机关应当依法给予行政处罚；取得的行政许可属于直接关系公共安全、人身健康、生命财产安全事项的，申请人在三年内不得再次申请该行政许可；构成犯罪的，依法追究刑事责任。</w:t>
            </w:r>
            <w:r>
              <w:rPr>
                <w:rFonts w:ascii="Times New Roman" w:hAnsi="Times New Roman" w:eastAsia="仿宋" w:cs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处罚依据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《医疗器械监督管理条例》第八十三条第一款 在申请医疗器械行政许可时提供虚假资料或者采取其他欺骗手段的，不予行政许可，已经取得行政许可的，由作出行政许可决定的部门撤销行政许可，没收违法所得、违法生产经营使用的医疗器械，10年内不受理相关责任人以及单位提出的医疗器械许可申请；违法生产经营使用的医疗器械货值金额不足1万元的，并处5万元以上15万元以下罚款；货值金额1万元以上的，并处货值金额15倍以上30倍以下罚款；情节严重的，责令停产停业，对违法单位的法定代表人、主要负责人、直接负责的主管人员和其他责任人员，没收违法行为发生期间自本单位所获收入，并处所获收入30%以上3倍以下罚款，终身禁止其从事医疗器械生产经营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处罚种类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没收违法所得，没收非法财物，没收收入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限制开展生产经营活动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责令停产停业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限制从业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实施主体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作出行政许可决定的部门，作出行政行政许可决定部门与监管部门不一致的，由监管的部门负责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裁量范围</w:t>
            </w:r>
          </w:p>
        </w:tc>
        <w:tc>
          <w:tcPr>
            <w:tcW w:w="8513" w:type="dxa"/>
            <w:gridSpan w:val="3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违法生产经营使用的医疗器械货值金额不足1万元的，并处5万元以上15万元以下罚款；货值金额1万元以上的，并处货值金额15倍以上30倍以下罚款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个人（情节严重的）：处违法行为发生期间自本单位所获收入的30%以上3倍以下罚款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违法主体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适用情形</w:t>
            </w:r>
          </w:p>
        </w:tc>
        <w:tc>
          <w:tcPr>
            <w:tcW w:w="370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裁量因素</w:t>
            </w: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裁量基准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" w:hRule="atLeast"/>
        </w:trPr>
        <w:tc>
          <w:tcPr>
            <w:tcW w:w="1303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4"/>
                <w:szCs w:val="24"/>
              </w:rPr>
              <w:t>医疗器械</w:t>
            </w:r>
            <w:r>
              <w:rPr>
                <w:rFonts w:hint="eastAsia" w:ascii="Times New Roman" w:hAnsi="仿宋" w:eastAsia="仿宋" w:cs="Times New Roman"/>
                <w:kern w:val="0"/>
                <w:sz w:val="24"/>
                <w:szCs w:val="24"/>
                <w:lang w:val="en-US" w:eastAsia="zh-CN"/>
              </w:rPr>
              <w:t>注册人、备案人、</w:t>
            </w:r>
            <w:bookmarkStart w:id="0" w:name="_GoBack"/>
            <w:bookmarkEnd w:id="0"/>
            <w:r>
              <w:rPr>
                <w:rFonts w:ascii="Times New Roman" w:hAnsi="仿宋" w:eastAsia="仿宋" w:cs="Times New Roman"/>
                <w:sz w:val="24"/>
                <w:szCs w:val="24"/>
              </w:rPr>
              <w:t>生产经营企业</w:t>
            </w: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基本罚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不符合从轻、减轻或从重情形的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货值金额不足1万元的：8万元以上12万元以下罚款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货值金额1万元以上的：货值金额19.5倍以上25.5倍以下罚款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情节严重的：</w:t>
            </w:r>
          </w:p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个人：所获收入1.1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倍以上2.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倍以下罚款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》从轻行政处罚情形的。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值金额不足1万元的：5万元以上8万元以下罚款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货值金额1万元以上的：货值金额15倍以上19.5倍以下罚款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情节严重的：</w:t>
            </w:r>
          </w:p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个人：所获收入30%以上1.1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倍以下罚款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减轻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不适用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130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从重</w:t>
            </w:r>
          </w:p>
        </w:tc>
        <w:tc>
          <w:tcPr>
            <w:tcW w:w="3703" w:type="dxa"/>
            <w:vAlign w:val="center"/>
          </w:tcPr>
          <w:p>
            <w:pPr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骗取第三类医疗器械产品注册证书、生产许可证、经营许可证；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2.不能说明涉案医疗器械来源和流向；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.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符合《河北省市场监督管理行政处罚裁量权适用规则》及《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河北省</w:t>
            </w:r>
            <w:r>
              <w:rPr>
                <w:rFonts w:hint="eastAsia" w:ascii="Times New Roman" w:hAnsi="仿宋" w:eastAsia="仿宋" w:cs="Times New Roman"/>
                <w:bCs/>
                <w:sz w:val="24"/>
                <w:szCs w:val="24"/>
              </w:rPr>
              <w:t>医疗器械</w:t>
            </w:r>
            <w:r>
              <w:rPr>
                <w:rFonts w:ascii="Times New Roman" w:hAnsi="仿宋" w:eastAsia="仿宋" w:cs="Times New Roman"/>
                <w:bCs/>
                <w:sz w:val="24"/>
                <w:szCs w:val="24"/>
              </w:rPr>
              <w:t>行政处罚裁量适用情形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》从重行政处罚情形的。</w:t>
            </w:r>
          </w:p>
        </w:tc>
        <w:tc>
          <w:tcPr>
            <w:tcW w:w="3471" w:type="dxa"/>
            <w:vAlign w:val="center"/>
          </w:tcPr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货值金额不足1万元的：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万元以上1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万元以下罚款</w:t>
            </w:r>
          </w:p>
          <w:p>
            <w:pPr>
              <w:spacing w:line="360" w:lineRule="exact"/>
              <w:rPr>
                <w:rFonts w:hint="eastAsia"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货值金额1万元以上的：货值金额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.5倍以上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倍以下罚款</w:t>
            </w:r>
          </w:p>
          <w:p>
            <w:pPr>
              <w:spacing w:line="360" w:lineRule="exact"/>
              <w:rPr>
                <w:rFonts w:ascii="Times New Roman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情节严重的：</w:t>
            </w:r>
          </w:p>
          <w:p>
            <w:pPr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个人：所获收入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.1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倍以上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倍以下罚款</w:t>
            </w:r>
          </w:p>
        </w:tc>
      </w:tr>
    </w:tbl>
    <w:p>
      <w:pPr>
        <w:rPr>
          <w:rFonts w:ascii="Times New Roman" w:hAnsi="Times New Roman" w:eastAsia="仿宋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814" w:right="1531" w:bottom="1701" w:left="1531" w:header="851" w:footer="107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65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right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4"/>
            <w:szCs w:val="24"/>
          </w:rPr>
          <w:t xml:space="preserve"> —</w:t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193"/>
      <w:docPartObj>
        <w:docPartGallery w:val="autotext"/>
      </w:docPartObj>
    </w:sdtPr>
    <w:sdtContent>
      <w:p>
        <w:pPr>
          <w:pStyle w:val="2"/>
          <w:numPr>
            <w:ilvl w:val="0"/>
            <w:numId w:val="2"/>
          </w:num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hint="eastAsia" w:ascii="Times New Roman" w:hAnsi="Times New Roman" w:cs="Times New Roman"/>
            <w:sz w:val="24"/>
            <w:szCs w:val="24"/>
          </w:rPr>
          <w:t>—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35CD"/>
    <w:multiLevelType w:val="multilevel"/>
    <w:tmpl w:val="132235CD"/>
    <w:lvl w:ilvl="0" w:tentative="0">
      <w:start w:val="8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E8B734D"/>
    <w:multiLevelType w:val="multilevel"/>
    <w:tmpl w:val="7E8B734D"/>
    <w:lvl w:ilvl="0" w:tentative="0">
      <w:start w:val="7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2391"/>
    <w:rsid w:val="0000373D"/>
    <w:rsid w:val="00004631"/>
    <w:rsid w:val="0000517E"/>
    <w:rsid w:val="00012397"/>
    <w:rsid w:val="00031453"/>
    <w:rsid w:val="0003291E"/>
    <w:rsid w:val="000336E6"/>
    <w:rsid w:val="000376F0"/>
    <w:rsid w:val="00037CB9"/>
    <w:rsid w:val="000627D4"/>
    <w:rsid w:val="000655FB"/>
    <w:rsid w:val="0009174A"/>
    <w:rsid w:val="00091BD3"/>
    <w:rsid w:val="0009450F"/>
    <w:rsid w:val="000A07A6"/>
    <w:rsid w:val="000A2CCF"/>
    <w:rsid w:val="000B1A66"/>
    <w:rsid w:val="000C1B4D"/>
    <w:rsid w:val="000C240C"/>
    <w:rsid w:val="000D4CA3"/>
    <w:rsid w:val="000E0DE3"/>
    <w:rsid w:val="000F3878"/>
    <w:rsid w:val="00100ECA"/>
    <w:rsid w:val="00106508"/>
    <w:rsid w:val="00110784"/>
    <w:rsid w:val="001210F2"/>
    <w:rsid w:val="00125034"/>
    <w:rsid w:val="00135597"/>
    <w:rsid w:val="00141E72"/>
    <w:rsid w:val="00142AC2"/>
    <w:rsid w:val="00144B13"/>
    <w:rsid w:val="00177093"/>
    <w:rsid w:val="001942C5"/>
    <w:rsid w:val="0019560B"/>
    <w:rsid w:val="001A0815"/>
    <w:rsid w:val="001A42B6"/>
    <w:rsid w:val="001B3BE0"/>
    <w:rsid w:val="001B6365"/>
    <w:rsid w:val="001E377A"/>
    <w:rsid w:val="001E7729"/>
    <w:rsid w:val="001F31E3"/>
    <w:rsid w:val="001F6F8C"/>
    <w:rsid w:val="0020062C"/>
    <w:rsid w:val="00200CF5"/>
    <w:rsid w:val="00201495"/>
    <w:rsid w:val="00211693"/>
    <w:rsid w:val="0021341B"/>
    <w:rsid w:val="00225789"/>
    <w:rsid w:val="00232820"/>
    <w:rsid w:val="0023627E"/>
    <w:rsid w:val="00237081"/>
    <w:rsid w:val="002415C6"/>
    <w:rsid w:val="0024210C"/>
    <w:rsid w:val="00246D9D"/>
    <w:rsid w:val="002A08C1"/>
    <w:rsid w:val="002B1499"/>
    <w:rsid w:val="002B15D9"/>
    <w:rsid w:val="002B5871"/>
    <w:rsid w:val="002D6632"/>
    <w:rsid w:val="002E7267"/>
    <w:rsid w:val="00307B94"/>
    <w:rsid w:val="0031149A"/>
    <w:rsid w:val="0031594F"/>
    <w:rsid w:val="003174F3"/>
    <w:rsid w:val="003243F2"/>
    <w:rsid w:val="003303E4"/>
    <w:rsid w:val="00331613"/>
    <w:rsid w:val="0033492B"/>
    <w:rsid w:val="003441A9"/>
    <w:rsid w:val="00345F46"/>
    <w:rsid w:val="003807F5"/>
    <w:rsid w:val="003852FC"/>
    <w:rsid w:val="003A66D1"/>
    <w:rsid w:val="003A788E"/>
    <w:rsid w:val="003B4DF9"/>
    <w:rsid w:val="003C6D68"/>
    <w:rsid w:val="003C7803"/>
    <w:rsid w:val="003D3123"/>
    <w:rsid w:val="003F2CD3"/>
    <w:rsid w:val="004118C3"/>
    <w:rsid w:val="004177F9"/>
    <w:rsid w:val="00420C4C"/>
    <w:rsid w:val="00421FB0"/>
    <w:rsid w:val="00427005"/>
    <w:rsid w:val="0045040E"/>
    <w:rsid w:val="00450BE3"/>
    <w:rsid w:val="00452A7D"/>
    <w:rsid w:val="00483A80"/>
    <w:rsid w:val="004857D6"/>
    <w:rsid w:val="0049105A"/>
    <w:rsid w:val="004A1790"/>
    <w:rsid w:val="004A74A8"/>
    <w:rsid w:val="004A79AD"/>
    <w:rsid w:val="004B6446"/>
    <w:rsid w:val="004C0EA9"/>
    <w:rsid w:val="004C0EB5"/>
    <w:rsid w:val="004D775B"/>
    <w:rsid w:val="004E5042"/>
    <w:rsid w:val="004F2EDB"/>
    <w:rsid w:val="004F51CF"/>
    <w:rsid w:val="00503360"/>
    <w:rsid w:val="00507267"/>
    <w:rsid w:val="005130CF"/>
    <w:rsid w:val="005316C3"/>
    <w:rsid w:val="00545322"/>
    <w:rsid w:val="00561DE7"/>
    <w:rsid w:val="00573BCD"/>
    <w:rsid w:val="00576439"/>
    <w:rsid w:val="00576DD1"/>
    <w:rsid w:val="00585765"/>
    <w:rsid w:val="00587749"/>
    <w:rsid w:val="005A4E77"/>
    <w:rsid w:val="005B1F9C"/>
    <w:rsid w:val="005B4886"/>
    <w:rsid w:val="005B643D"/>
    <w:rsid w:val="005C131B"/>
    <w:rsid w:val="005C7631"/>
    <w:rsid w:val="005D24EB"/>
    <w:rsid w:val="005D2F53"/>
    <w:rsid w:val="005D6116"/>
    <w:rsid w:val="005E22AA"/>
    <w:rsid w:val="005E27E3"/>
    <w:rsid w:val="005E3745"/>
    <w:rsid w:val="005F5D75"/>
    <w:rsid w:val="00601A35"/>
    <w:rsid w:val="00617AB6"/>
    <w:rsid w:val="00620615"/>
    <w:rsid w:val="0064583F"/>
    <w:rsid w:val="00646150"/>
    <w:rsid w:val="006567BC"/>
    <w:rsid w:val="006569FE"/>
    <w:rsid w:val="00662588"/>
    <w:rsid w:val="00676407"/>
    <w:rsid w:val="00680341"/>
    <w:rsid w:val="00686D94"/>
    <w:rsid w:val="0068729C"/>
    <w:rsid w:val="00692B52"/>
    <w:rsid w:val="006940BD"/>
    <w:rsid w:val="00697158"/>
    <w:rsid w:val="006B5BE7"/>
    <w:rsid w:val="006D1AC1"/>
    <w:rsid w:val="006D4E9A"/>
    <w:rsid w:val="006F469C"/>
    <w:rsid w:val="00710149"/>
    <w:rsid w:val="0073693A"/>
    <w:rsid w:val="0073732E"/>
    <w:rsid w:val="0076086F"/>
    <w:rsid w:val="007644C2"/>
    <w:rsid w:val="007763A1"/>
    <w:rsid w:val="00776FAE"/>
    <w:rsid w:val="00785D7F"/>
    <w:rsid w:val="007862DE"/>
    <w:rsid w:val="007949F1"/>
    <w:rsid w:val="007B003C"/>
    <w:rsid w:val="007B378F"/>
    <w:rsid w:val="007B3D48"/>
    <w:rsid w:val="007B4C38"/>
    <w:rsid w:val="007B5338"/>
    <w:rsid w:val="007B5CE2"/>
    <w:rsid w:val="007E4BA0"/>
    <w:rsid w:val="007E5234"/>
    <w:rsid w:val="00807DBF"/>
    <w:rsid w:val="008147B2"/>
    <w:rsid w:val="00814E9E"/>
    <w:rsid w:val="00824787"/>
    <w:rsid w:val="00850C9B"/>
    <w:rsid w:val="008524E4"/>
    <w:rsid w:val="00860229"/>
    <w:rsid w:val="00870B0B"/>
    <w:rsid w:val="0087231A"/>
    <w:rsid w:val="0087333F"/>
    <w:rsid w:val="00873CB8"/>
    <w:rsid w:val="00874A98"/>
    <w:rsid w:val="00876F22"/>
    <w:rsid w:val="0088277E"/>
    <w:rsid w:val="0088799E"/>
    <w:rsid w:val="008960E7"/>
    <w:rsid w:val="008B3552"/>
    <w:rsid w:val="008C7CE4"/>
    <w:rsid w:val="008D7092"/>
    <w:rsid w:val="00903B28"/>
    <w:rsid w:val="00913ACB"/>
    <w:rsid w:val="00914724"/>
    <w:rsid w:val="00935358"/>
    <w:rsid w:val="0094152D"/>
    <w:rsid w:val="00952E57"/>
    <w:rsid w:val="00955D4A"/>
    <w:rsid w:val="00957919"/>
    <w:rsid w:val="009647B8"/>
    <w:rsid w:val="009654B3"/>
    <w:rsid w:val="00973F0A"/>
    <w:rsid w:val="00980FC2"/>
    <w:rsid w:val="009A37A2"/>
    <w:rsid w:val="009A3D5E"/>
    <w:rsid w:val="009B1D5A"/>
    <w:rsid w:val="009D31D6"/>
    <w:rsid w:val="009D4195"/>
    <w:rsid w:val="009E71D2"/>
    <w:rsid w:val="009F7884"/>
    <w:rsid w:val="00A03330"/>
    <w:rsid w:val="00A050B1"/>
    <w:rsid w:val="00A05AD6"/>
    <w:rsid w:val="00A13A5A"/>
    <w:rsid w:val="00A14413"/>
    <w:rsid w:val="00A163EC"/>
    <w:rsid w:val="00A236EC"/>
    <w:rsid w:val="00A351DD"/>
    <w:rsid w:val="00A4056E"/>
    <w:rsid w:val="00A44E04"/>
    <w:rsid w:val="00A6288F"/>
    <w:rsid w:val="00A65DAC"/>
    <w:rsid w:val="00A71DB6"/>
    <w:rsid w:val="00A86AFF"/>
    <w:rsid w:val="00AA502F"/>
    <w:rsid w:val="00AC57D1"/>
    <w:rsid w:val="00AD6839"/>
    <w:rsid w:val="00B010B2"/>
    <w:rsid w:val="00B10AB7"/>
    <w:rsid w:val="00B241C2"/>
    <w:rsid w:val="00B30229"/>
    <w:rsid w:val="00B35DCE"/>
    <w:rsid w:val="00B50B12"/>
    <w:rsid w:val="00B51969"/>
    <w:rsid w:val="00B56515"/>
    <w:rsid w:val="00B60380"/>
    <w:rsid w:val="00B60B73"/>
    <w:rsid w:val="00B67C0D"/>
    <w:rsid w:val="00B71EDF"/>
    <w:rsid w:val="00B741B0"/>
    <w:rsid w:val="00B80F61"/>
    <w:rsid w:val="00B85D6F"/>
    <w:rsid w:val="00B878ED"/>
    <w:rsid w:val="00BA05FA"/>
    <w:rsid w:val="00BA21D1"/>
    <w:rsid w:val="00BC3CA2"/>
    <w:rsid w:val="00BC4FEF"/>
    <w:rsid w:val="00BD6416"/>
    <w:rsid w:val="00BE022D"/>
    <w:rsid w:val="00BE2462"/>
    <w:rsid w:val="00BE7CD2"/>
    <w:rsid w:val="00BF03F3"/>
    <w:rsid w:val="00BF60F1"/>
    <w:rsid w:val="00C065AA"/>
    <w:rsid w:val="00C07D51"/>
    <w:rsid w:val="00C1172D"/>
    <w:rsid w:val="00C20FB1"/>
    <w:rsid w:val="00C3422A"/>
    <w:rsid w:val="00C358A6"/>
    <w:rsid w:val="00C37861"/>
    <w:rsid w:val="00C41D36"/>
    <w:rsid w:val="00C432D2"/>
    <w:rsid w:val="00C449D4"/>
    <w:rsid w:val="00C57050"/>
    <w:rsid w:val="00C57F0D"/>
    <w:rsid w:val="00C60304"/>
    <w:rsid w:val="00C609EB"/>
    <w:rsid w:val="00C615AF"/>
    <w:rsid w:val="00C6656E"/>
    <w:rsid w:val="00C7112C"/>
    <w:rsid w:val="00C76FFC"/>
    <w:rsid w:val="00C835F4"/>
    <w:rsid w:val="00C97CA4"/>
    <w:rsid w:val="00CA3305"/>
    <w:rsid w:val="00CB3DC5"/>
    <w:rsid w:val="00CC2477"/>
    <w:rsid w:val="00CC7EB0"/>
    <w:rsid w:val="00CD2391"/>
    <w:rsid w:val="00D02D8B"/>
    <w:rsid w:val="00D043C3"/>
    <w:rsid w:val="00D10F76"/>
    <w:rsid w:val="00D1650A"/>
    <w:rsid w:val="00D176D6"/>
    <w:rsid w:val="00D2216C"/>
    <w:rsid w:val="00D24DC7"/>
    <w:rsid w:val="00D268EA"/>
    <w:rsid w:val="00D328CA"/>
    <w:rsid w:val="00D33221"/>
    <w:rsid w:val="00D33C7B"/>
    <w:rsid w:val="00D40DA3"/>
    <w:rsid w:val="00D42857"/>
    <w:rsid w:val="00D45067"/>
    <w:rsid w:val="00D4537A"/>
    <w:rsid w:val="00D54F8B"/>
    <w:rsid w:val="00D55BE1"/>
    <w:rsid w:val="00D562B6"/>
    <w:rsid w:val="00D578F2"/>
    <w:rsid w:val="00D661D0"/>
    <w:rsid w:val="00D76182"/>
    <w:rsid w:val="00D90B6C"/>
    <w:rsid w:val="00D95FBD"/>
    <w:rsid w:val="00DA49D8"/>
    <w:rsid w:val="00DB4427"/>
    <w:rsid w:val="00DD3ED2"/>
    <w:rsid w:val="00DD750B"/>
    <w:rsid w:val="00DD7EC7"/>
    <w:rsid w:val="00DE0C17"/>
    <w:rsid w:val="00DE5BAC"/>
    <w:rsid w:val="00DE6669"/>
    <w:rsid w:val="00DE70B1"/>
    <w:rsid w:val="00DF0BB7"/>
    <w:rsid w:val="00DF5068"/>
    <w:rsid w:val="00E01CC1"/>
    <w:rsid w:val="00E03429"/>
    <w:rsid w:val="00E13C6D"/>
    <w:rsid w:val="00E33E00"/>
    <w:rsid w:val="00E34CE3"/>
    <w:rsid w:val="00E53018"/>
    <w:rsid w:val="00E5410C"/>
    <w:rsid w:val="00E72ADB"/>
    <w:rsid w:val="00E85F9D"/>
    <w:rsid w:val="00EA0181"/>
    <w:rsid w:val="00EA31DB"/>
    <w:rsid w:val="00EA45FC"/>
    <w:rsid w:val="00EB7352"/>
    <w:rsid w:val="00ED6E12"/>
    <w:rsid w:val="00ED72A5"/>
    <w:rsid w:val="00EE2C77"/>
    <w:rsid w:val="00F20924"/>
    <w:rsid w:val="00F21A34"/>
    <w:rsid w:val="00F22B97"/>
    <w:rsid w:val="00F270E1"/>
    <w:rsid w:val="00F7007E"/>
    <w:rsid w:val="00F751DA"/>
    <w:rsid w:val="00F76FBD"/>
    <w:rsid w:val="00F808D0"/>
    <w:rsid w:val="00F82463"/>
    <w:rsid w:val="00F919ED"/>
    <w:rsid w:val="00F91BE3"/>
    <w:rsid w:val="00FB1A4C"/>
    <w:rsid w:val="00FB418C"/>
    <w:rsid w:val="00FB65BC"/>
    <w:rsid w:val="00FD36D8"/>
    <w:rsid w:val="00FD386B"/>
    <w:rsid w:val="00FE0A35"/>
    <w:rsid w:val="00FF0DAE"/>
    <w:rsid w:val="00FF45B5"/>
    <w:rsid w:val="00FF4D65"/>
    <w:rsid w:val="00FF6825"/>
    <w:rsid w:val="00FF75CF"/>
    <w:rsid w:val="199C435F"/>
    <w:rsid w:val="468A1D02"/>
    <w:rsid w:val="64BA1295"/>
    <w:rsid w:val="70CD4888"/>
    <w:rsid w:val="7757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31B6E8-B85E-4FE8-B0F6-E4C2528A38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222</Words>
  <Characters>1272</Characters>
  <Lines>10</Lines>
  <Paragraphs>2</Paragraphs>
  <TotalTime>0</TotalTime>
  <ScaleCrop>false</ScaleCrop>
  <LinksUpToDate>false</LinksUpToDate>
  <CharactersWithSpaces>1492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2020-09-15T08:52:00Z</dcterms:created>
  <dc:creator>haoqiang</dc:creator>
  <cp:lastModifiedBy>郝强</cp:lastModifiedBy>
  <cp:lastPrinted>2021-01-06T02:58:00Z</cp:lastPrinted>
  <dcterms:modified xsi:type="dcterms:W3CDTF">2021-10-21T01:50:29Z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