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Times New Roman" w:hAnsi="Times New Roman" w:eastAsia="仿宋" w:cs="Times New Roman"/>
          <w:sz w:val="32"/>
          <w:szCs w:val="32"/>
        </w:rPr>
      </w:pPr>
    </w:p>
    <w:tbl>
      <w:tblPr>
        <w:tblStyle w:val="5"/>
        <w:tblpPr w:leftFromText="180" w:rightFromText="180" w:vertAnchor="text" w:horzAnchor="margin" w:tblpXSpec="center" w:tblpY="151"/>
        <w:tblW w:w="9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39"/>
        <w:gridCol w:w="3703"/>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03" w:type="dxa"/>
            <w:vAlign w:val="center"/>
          </w:tcPr>
          <w:p>
            <w:pPr>
              <w:spacing w:line="360" w:lineRule="exact"/>
              <w:jc w:val="center"/>
              <w:rPr>
                <w:rFonts w:ascii="Times New Roman" w:hAnsi="Times New Roman" w:eastAsia="黑体" w:cs="Times New Roman"/>
                <w:sz w:val="24"/>
                <w:szCs w:val="24"/>
              </w:rPr>
            </w:pPr>
            <w:r>
              <w:rPr>
                <w:rFonts w:ascii="Times New Roman" w:hAnsi="黑体" w:eastAsia="黑体" w:cs="Times New Roman"/>
                <w:sz w:val="24"/>
                <w:szCs w:val="24"/>
              </w:rPr>
              <w:t>编码</w:t>
            </w:r>
          </w:p>
        </w:tc>
        <w:tc>
          <w:tcPr>
            <w:tcW w:w="8513" w:type="dxa"/>
            <w:gridSpan w:val="3"/>
            <w:vAlign w:val="center"/>
          </w:tcPr>
          <w:p>
            <w:pPr>
              <w:spacing w:line="36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HEBMPA-C-</w:t>
            </w:r>
            <w:r>
              <w:rPr>
                <w:rFonts w:hint="eastAsia" w:ascii="Times New Roman" w:hAnsi="Times New Roman" w:eastAsia="黑体" w:cs="Times New Roman"/>
                <w:sz w:val="24"/>
                <w:szCs w:val="24"/>
              </w:rPr>
              <w:t>2</w:t>
            </w:r>
            <w:r>
              <w:rPr>
                <w:rFonts w:ascii="Times New Roman" w:hAnsi="Times New Roman" w:eastAsia="黑体" w:cs="Times New Roman"/>
                <w:sz w:val="24"/>
                <w:szCs w:val="24"/>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03"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违法行为</w:t>
            </w:r>
          </w:p>
        </w:tc>
        <w:tc>
          <w:tcPr>
            <w:tcW w:w="8513" w:type="dxa"/>
            <w:gridSpan w:val="3"/>
          </w:tcPr>
          <w:p>
            <w:pPr>
              <w:spacing w:line="360" w:lineRule="exact"/>
              <w:rPr>
                <w:rFonts w:ascii="Times New Roman" w:hAnsi="仿宋" w:eastAsia="仿宋" w:cs="Times New Roman"/>
                <w:color w:val="191919"/>
                <w:sz w:val="24"/>
                <w:szCs w:val="24"/>
              </w:rPr>
            </w:pPr>
            <w:r>
              <w:rPr>
                <w:rFonts w:hint="eastAsia" w:ascii="Times New Roman" w:hAnsi="仿宋" w:eastAsia="仿宋" w:cs="Times New Roman"/>
                <w:color w:val="191919"/>
                <w:sz w:val="24"/>
                <w:szCs w:val="24"/>
              </w:rPr>
              <w:t>1.生产、经营未取得医疗器械注册证的第二类、第三类医疗器械；</w:t>
            </w:r>
          </w:p>
          <w:p>
            <w:pPr>
              <w:spacing w:line="360" w:lineRule="exact"/>
              <w:rPr>
                <w:rFonts w:ascii="Times New Roman" w:hAnsi="仿宋" w:eastAsia="仿宋" w:cs="Times New Roman"/>
                <w:color w:val="191919"/>
                <w:sz w:val="24"/>
                <w:szCs w:val="24"/>
              </w:rPr>
            </w:pPr>
            <w:r>
              <w:rPr>
                <w:rFonts w:hint="eastAsia" w:ascii="Times New Roman" w:hAnsi="仿宋" w:eastAsia="仿宋" w:cs="Times New Roman"/>
                <w:color w:val="191919"/>
                <w:sz w:val="24"/>
                <w:szCs w:val="24"/>
              </w:rPr>
              <w:t>2.未经许可从事第二类、第三类医疗器械生产活动；</w:t>
            </w:r>
          </w:p>
          <w:p>
            <w:pPr>
              <w:spacing w:line="360" w:lineRule="exact"/>
              <w:rPr>
                <w:rFonts w:ascii="Times New Roman" w:hAnsi="Times New Roman" w:eastAsia="仿宋" w:cs="Times New Roman"/>
                <w:sz w:val="24"/>
                <w:szCs w:val="24"/>
              </w:rPr>
            </w:pPr>
            <w:r>
              <w:rPr>
                <w:rFonts w:hint="eastAsia" w:ascii="Times New Roman" w:hAnsi="仿宋" w:eastAsia="仿宋" w:cs="Times New Roman"/>
                <w:color w:val="191919"/>
                <w:sz w:val="24"/>
                <w:szCs w:val="24"/>
              </w:rPr>
              <w:t>3.未经许可从事第三类医疗器械经营活动。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atLeast"/>
        </w:trPr>
        <w:tc>
          <w:tcPr>
            <w:tcW w:w="1303"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违法依据</w:t>
            </w:r>
          </w:p>
        </w:tc>
        <w:tc>
          <w:tcPr>
            <w:tcW w:w="8513" w:type="dxa"/>
            <w:gridSpan w:val="3"/>
          </w:tcPr>
          <w:p>
            <w:pPr>
              <w:spacing w:line="280" w:lineRule="exact"/>
              <w:rPr>
                <w:rFonts w:ascii="Times New Roman" w:hAnsi="Times New Roman" w:eastAsia="仿宋" w:cs="Times New Roman"/>
                <w:sz w:val="24"/>
                <w:szCs w:val="24"/>
              </w:rPr>
            </w:pPr>
            <w:r>
              <w:rPr>
                <w:rFonts w:ascii="Times New Roman" w:hAnsi="Times New Roman" w:eastAsia="仿宋" w:cs="Times New Roman"/>
                <w:sz w:val="24"/>
                <w:szCs w:val="24"/>
              </w:rPr>
              <w:t>1.</w:t>
            </w:r>
            <w:r>
              <w:rPr>
                <w:rFonts w:hint="eastAsia" w:ascii="Times New Roman" w:hAnsi="Times New Roman" w:eastAsia="仿宋" w:cs="Times New Roman"/>
                <w:sz w:val="24"/>
                <w:szCs w:val="24"/>
              </w:rPr>
              <w:t>《医疗器械监督管理条例》</w:t>
            </w:r>
            <w:r>
              <w:rPr>
                <w:rFonts w:hint="eastAsia" w:ascii="Times New Roman" w:hAnsi="仿宋" w:eastAsia="仿宋" w:cs="Times New Roman"/>
                <w:sz w:val="24"/>
                <w:szCs w:val="24"/>
              </w:rPr>
              <w:t>第十三条第一款　第一类医疗器械实行产品备案管理，第二类、第三类医疗器械实行产品注册管理。</w:t>
            </w:r>
          </w:p>
          <w:p>
            <w:pPr>
              <w:spacing w:line="280" w:lineRule="exact"/>
              <w:rPr>
                <w:rFonts w:ascii="Times New Roman" w:hAnsi="Times New Roman" w:eastAsia="仿宋" w:cs="Times New Roman"/>
                <w:sz w:val="24"/>
                <w:szCs w:val="24"/>
              </w:rPr>
            </w:pPr>
            <w:r>
              <w:rPr>
                <w:rFonts w:ascii="Times New Roman" w:hAnsi="Times New Roman" w:eastAsia="仿宋" w:cs="Times New Roman"/>
                <w:sz w:val="24"/>
                <w:szCs w:val="24"/>
              </w:rPr>
              <w:t>2.</w:t>
            </w:r>
            <w:r>
              <w:rPr>
                <w:rFonts w:hint="eastAsia" w:ascii="Times New Roman" w:hAnsi="Times New Roman" w:eastAsia="仿宋" w:cs="Times New Roman"/>
                <w:sz w:val="24"/>
                <w:szCs w:val="24"/>
              </w:rPr>
              <w:t>《医疗器械监督管理条例》</w:t>
            </w:r>
            <w:r>
              <w:rPr>
                <w:rFonts w:hint="eastAsia" w:ascii="Times New Roman" w:hAnsi="仿宋" w:eastAsia="仿宋" w:cs="Times New Roman"/>
                <w:sz w:val="24"/>
                <w:szCs w:val="24"/>
              </w:rPr>
              <w:t>第三十二条第一款　从事第二类、第三类医疗器械生产的，应当向所在地省、自治区、直辖市人民政府药品监督管理部门申请生产许可并提交其符合本条例第三十条规定条件的有关资料以及所生产医疗器械的注册证。</w:t>
            </w:r>
          </w:p>
          <w:p>
            <w:pPr>
              <w:spacing w:line="280" w:lineRule="exact"/>
              <w:rPr>
                <w:rFonts w:ascii="Times New Roman" w:hAnsi="Times New Roman" w:eastAsia="仿宋" w:cs="Times New Roman"/>
                <w:color w:val="191919"/>
                <w:sz w:val="24"/>
                <w:szCs w:val="24"/>
              </w:rPr>
            </w:pPr>
            <w:r>
              <w:rPr>
                <w:rFonts w:ascii="Times New Roman" w:hAnsi="Times New Roman" w:eastAsia="仿宋" w:cs="Times New Roman"/>
                <w:sz w:val="24"/>
                <w:szCs w:val="24"/>
              </w:rPr>
              <w:t>3.</w:t>
            </w:r>
            <w:r>
              <w:rPr>
                <w:rFonts w:hint="eastAsia" w:ascii="Times New Roman" w:hAnsi="Times New Roman" w:eastAsia="仿宋" w:cs="Times New Roman"/>
                <w:sz w:val="24"/>
                <w:szCs w:val="24"/>
              </w:rPr>
              <w:t>《医疗器械监督管理条例》</w:t>
            </w:r>
            <w:r>
              <w:rPr>
                <w:rFonts w:hint="eastAsia" w:ascii="Times New Roman" w:hAnsi="仿宋" w:eastAsia="仿宋" w:cs="Times New Roman"/>
                <w:sz w:val="24"/>
                <w:szCs w:val="24"/>
              </w:rPr>
              <w:t>第四十二条第一款　从事第三类医疗器械经营的，经营企业应当向所在地设区的市级人民政府负责药品监督管理的部门申请经营许可并提交符合本条例第四十条规定条件的有关资料。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处罚依据</w:t>
            </w:r>
          </w:p>
        </w:tc>
        <w:tc>
          <w:tcPr>
            <w:tcW w:w="8513" w:type="dxa"/>
            <w:gridSpan w:val="3"/>
            <w:vAlign w:val="center"/>
          </w:tcPr>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医疗器械监督管理条例》第八十一条：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（一）生产、经营未取得医疗器械注册证的第二类、第三类医疗器械；</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（二）未经许可从事第二类、第三类医疗器械生产活动；</w:t>
            </w:r>
          </w:p>
          <w:p>
            <w:pPr>
              <w:spacing w:line="300" w:lineRule="exact"/>
              <w:rPr>
                <w:rFonts w:ascii="Times New Roman" w:hAnsi="Times New Roman" w:eastAsia="仿宋" w:cs="Times New Roman"/>
                <w:sz w:val="24"/>
                <w:szCs w:val="24"/>
              </w:rPr>
            </w:pPr>
            <w:r>
              <w:rPr>
                <w:rFonts w:hint="eastAsia" w:ascii="Times New Roman" w:hAnsi="Times New Roman" w:eastAsia="仿宋" w:cs="Times New Roman"/>
                <w:sz w:val="24"/>
                <w:szCs w:val="24"/>
              </w:rPr>
              <w:t>（三）未经许可从事第三类医疗器械经营活动。</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有前款第一项情形、情节严重的，由原发证部门吊销医疗器械生产许可证或者医疗器械经营许可证。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处罚种类</w:t>
            </w:r>
          </w:p>
        </w:tc>
        <w:tc>
          <w:tcPr>
            <w:tcW w:w="8513" w:type="dxa"/>
            <w:gridSpan w:val="3"/>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没收违法所得，没收非法财物，没收收入</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责令停产停业</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限制开展生产经营活动</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吊销许可证件</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罚款</w:t>
            </w:r>
          </w:p>
          <w:p>
            <w:pPr>
              <w:rPr>
                <w:rFonts w:ascii="Times New Roman" w:hAnsi="Times New Roman" w:eastAsia="仿宋" w:cs="Times New Roman"/>
                <w:sz w:val="24"/>
                <w:szCs w:val="24"/>
              </w:rPr>
            </w:pPr>
            <w:r>
              <w:rPr>
                <w:rFonts w:hint="eastAsia" w:ascii="Times New Roman" w:hAnsi="仿宋" w:eastAsia="仿宋" w:cs="Times New Roman"/>
                <w:sz w:val="24"/>
                <w:szCs w:val="24"/>
              </w:rPr>
              <w:t>限制从业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实施主体</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1.负责药品监督管理的部门</w:t>
            </w:r>
          </w:p>
          <w:p>
            <w:pPr>
              <w:rPr>
                <w:rFonts w:ascii="Times New Roman" w:hAnsi="Times New Roman" w:eastAsia="仿宋" w:cs="Times New Roman"/>
                <w:sz w:val="24"/>
                <w:szCs w:val="24"/>
              </w:rPr>
            </w:pPr>
            <w:r>
              <w:rPr>
                <w:rFonts w:hint="eastAsia" w:ascii="Times New Roman" w:hAnsi="仿宋" w:eastAsia="仿宋" w:cs="Times New Roman"/>
                <w:sz w:val="24"/>
                <w:szCs w:val="24"/>
              </w:rPr>
              <w:t>2.吊销许可证件，由原发证部门，原发证部门与监管部门不一致的，由监管的部门负责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裁量范围</w:t>
            </w:r>
          </w:p>
        </w:tc>
        <w:tc>
          <w:tcPr>
            <w:tcW w:w="8513" w:type="dxa"/>
            <w:gridSpan w:val="3"/>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违法生产经营的医疗器械货值金额不足1万元的，并处5万元以上15万元以下罚款；货值金额1万元以上的，并处货值金额15倍以上30倍以下罚款</w:t>
            </w:r>
          </w:p>
          <w:p>
            <w:pPr>
              <w:rPr>
                <w:rFonts w:ascii="Times New Roman" w:hAnsi="Times New Roman" w:eastAsia="仿宋" w:cs="Times New Roman"/>
                <w:sz w:val="24"/>
                <w:szCs w:val="24"/>
              </w:rPr>
            </w:pPr>
            <w:r>
              <w:rPr>
                <w:rFonts w:hint="eastAsia" w:ascii="Times New Roman" w:hAnsi="仿宋" w:eastAsia="仿宋" w:cs="Times New Roman"/>
                <w:sz w:val="24"/>
                <w:szCs w:val="24"/>
              </w:rPr>
              <w:t>个人（情节严重的）：处违法行为发生期间自本单位所获收入30%以上3倍以下罚款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违法主体</w:t>
            </w:r>
          </w:p>
        </w:tc>
        <w:tc>
          <w:tcPr>
            <w:tcW w:w="1339"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适用情形</w:t>
            </w:r>
          </w:p>
        </w:tc>
        <w:tc>
          <w:tcPr>
            <w:tcW w:w="3703"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裁量因素</w:t>
            </w:r>
          </w:p>
        </w:tc>
        <w:tc>
          <w:tcPr>
            <w:tcW w:w="3471" w:type="dxa"/>
            <w:vAlign w:val="center"/>
          </w:tcPr>
          <w:p>
            <w:pPr>
              <w:jc w:val="center"/>
              <w:rPr>
                <w:rFonts w:ascii="Times New Roman" w:hAnsi="Times New Roman" w:eastAsia="黑体" w:cs="Times New Roman"/>
                <w:sz w:val="24"/>
                <w:szCs w:val="24"/>
              </w:rPr>
            </w:pPr>
            <w:r>
              <w:rPr>
                <w:rFonts w:ascii="Times New Roman" w:hAnsi="黑体" w:eastAsia="黑体" w:cs="Times New Roman"/>
                <w:sz w:val="24"/>
                <w:szCs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1303" w:type="dxa"/>
            <w:vMerge w:val="restart"/>
            <w:vAlign w:val="center"/>
          </w:tcPr>
          <w:p>
            <w:pPr>
              <w:jc w:val="left"/>
              <w:rPr>
                <w:rFonts w:ascii="Times New Roman" w:hAnsi="Times New Roman" w:eastAsia="仿宋" w:cs="Times New Roman"/>
                <w:sz w:val="24"/>
                <w:szCs w:val="24"/>
              </w:rPr>
            </w:pPr>
            <w:r>
              <w:rPr>
                <w:rFonts w:hint="eastAsia" w:ascii="Times New Roman" w:hAnsi="仿宋" w:eastAsia="仿宋" w:cs="Times New Roman"/>
                <w:kern w:val="0"/>
                <w:sz w:val="24"/>
                <w:szCs w:val="24"/>
              </w:rPr>
              <w:t>医疗器械</w:t>
            </w:r>
            <w:r>
              <w:rPr>
                <w:rFonts w:ascii="Times New Roman" w:hAnsi="仿宋" w:eastAsia="仿宋" w:cs="Times New Roman"/>
                <w:sz w:val="24"/>
                <w:szCs w:val="24"/>
              </w:rPr>
              <w:t>生产经营企业</w:t>
            </w: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基本罚</w:t>
            </w:r>
          </w:p>
        </w:tc>
        <w:tc>
          <w:tcPr>
            <w:tcW w:w="3703" w:type="dxa"/>
            <w:vAlign w:val="center"/>
          </w:tcPr>
          <w:p>
            <w:pPr>
              <w:rPr>
                <w:rFonts w:ascii="Times New Roman" w:hAnsi="Times New Roman" w:eastAsia="仿宋" w:cs="Times New Roman"/>
                <w:sz w:val="24"/>
                <w:szCs w:val="24"/>
              </w:rPr>
            </w:pPr>
            <w:r>
              <w:rPr>
                <w:rFonts w:ascii="Times New Roman" w:hAnsi="仿宋" w:eastAsia="仿宋" w:cs="Times New Roman"/>
                <w:sz w:val="24"/>
                <w:szCs w:val="24"/>
              </w:rPr>
              <w:t>不符合从轻、减轻或从重情形的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货值金额不足1万元的：8万元以上12万元以下罚款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货值金额1万元以上的：货值金额19.5倍以上25.5倍以下罚款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个人：所获收入1.1</w:t>
            </w:r>
            <w:r>
              <w:rPr>
                <w:rFonts w:hint="eastAsia" w:ascii="Times New Roman" w:hAnsi="仿宋" w:eastAsia="仿宋" w:cs="Times New Roman"/>
                <w:sz w:val="24"/>
                <w:szCs w:val="24"/>
                <w:lang w:val="en-US" w:eastAsia="zh-CN"/>
              </w:rPr>
              <w:t>1</w:t>
            </w:r>
            <w:r>
              <w:rPr>
                <w:rFonts w:hint="eastAsia" w:ascii="Times New Roman" w:hAnsi="仿宋" w:eastAsia="仿宋" w:cs="Times New Roman"/>
                <w:sz w:val="24"/>
                <w:szCs w:val="24"/>
              </w:rPr>
              <w:t>倍以上2.</w:t>
            </w:r>
            <w:r>
              <w:rPr>
                <w:rFonts w:hint="eastAsia" w:ascii="Times New Roman" w:hAnsi="仿宋" w:eastAsia="仿宋" w:cs="Times New Roman"/>
                <w:sz w:val="24"/>
                <w:szCs w:val="24"/>
                <w:lang w:val="en-US" w:eastAsia="zh-CN"/>
              </w:rPr>
              <w:t>19</w:t>
            </w:r>
            <w:r>
              <w:rPr>
                <w:rFonts w:hint="eastAsia" w:ascii="Times New Roman" w:hAnsi="仿宋" w:eastAsia="仿宋" w:cs="Times New Roman"/>
                <w:sz w:val="24"/>
                <w:szCs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从轻</w:t>
            </w:r>
            <w:bookmarkStart w:id="0" w:name="_GoBack"/>
            <w:bookmarkEnd w:id="0"/>
          </w:p>
        </w:tc>
        <w:tc>
          <w:tcPr>
            <w:tcW w:w="3703" w:type="dxa"/>
            <w:vAlign w:val="center"/>
          </w:tcPr>
          <w:p>
            <w:pPr>
              <w:rPr>
                <w:rFonts w:ascii="Times New Roman" w:hAnsi="仿宋"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未经许可从事第三类医疗器械经营活动初次违法</w:t>
            </w:r>
            <w:r>
              <w:rPr>
                <w:rFonts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2.当事人能够提供合法证据证明涉案医疗器械产品符合强制性标准或经注册的产品技术要求；</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3</w:t>
            </w:r>
            <w:r>
              <w:rPr>
                <w:rFonts w:ascii="Times New Roman" w:hAnsi="Times New Roman" w:eastAsia="仿宋" w:cs="Times New Roman"/>
                <w:sz w:val="24"/>
                <w:szCs w:val="24"/>
              </w:rPr>
              <w:t>.</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》从轻行政处罚情形的。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值金额不足1万元的：5万元以上8万元以下罚款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货值金额1万元以上的：货值金额15倍以上19.5倍以下罚款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个人：所获收入的30%以上1.</w:t>
            </w:r>
            <w:r>
              <w:rPr>
                <w:rFonts w:hint="eastAsia" w:ascii="Times New Roman" w:hAnsi="仿宋" w:eastAsia="仿宋" w:cs="Times New Roman"/>
                <w:sz w:val="24"/>
                <w:szCs w:val="24"/>
                <w:lang w:val="en-US" w:eastAsia="zh-CN"/>
              </w:rPr>
              <w:t>1</w:t>
            </w:r>
            <w:r>
              <w:rPr>
                <w:rFonts w:hint="eastAsia" w:ascii="Times New Roman" w:hAnsi="仿宋" w:eastAsia="仿宋" w:cs="Times New Roman"/>
                <w:sz w:val="24"/>
                <w:szCs w:val="24"/>
              </w:rPr>
              <w:t>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减轻</w:t>
            </w:r>
          </w:p>
        </w:tc>
        <w:tc>
          <w:tcPr>
            <w:tcW w:w="3703" w:type="dxa"/>
            <w:vAlign w:val="center"/>
          </w:tcPr>
          <w:p>
            <w:pPr>
              <w:rPr>
                <w:rFonts w:ascii="Times New Roman" w:hAnsi="仿宋" w:eastAsia="仿宋" w:cs="Times New Roman"/>
                <w:sz w:val="24"/>
                <w:szCs w:val="24"/>
              </w:rPr>
            </w:pPr>
            <w:r>
              <w:rPr>
                <w:rFonts w:hint="eastAsia" w:ascii="Times New Roman" w:hAnsi="仿宋" w:eastAsia="仿宋" w:cs="Times New Roman"/>
                <w:sz w:val="24"/>
                <w:szCs w:val="24"/>
              </w:rPr>
              <w:t>1.</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》减轻行政处罚情形的</w:t>
            </w:r>
            <w:r>
              <w:rPr>
                <w:rFonts w:hint="eastAsia"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2.情节严重不适用。</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货值金额不足1万元的：5千元以上5万元以下罚款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货值金额1万元以上的：货值金额1.5倍以上15倍以下罚款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5" w:hRule="atLeast"/>
        </w:trPr>
        <w:tc>
          <w:tcPr>
            <w:tcW w:w="1303" w:type="dxa"/>
            <w:vMerge w:val="continue"/>
            <w:vAlign w:val="center"/>
          </w:tcPr>
          <w:p>
            <w:pPr>
              <w:jc w:val="center"/>
              <w:rPr>
                <w:rFonts w:ascii="Times New Roman" w:hAnsi="Times New Roman" w:eastAsia="仿宋" w:cs="Times New Roman"/>
                <w:sz w:val="24"/>
                <w:szCs w:val="24"/>
              </w:rPr>
            </w:pPr>
          </w:p>
        </w:tc>
        <w:tc>
          <w:tcPr>
            <w:tcW w:w="1339" w:type="dxa"/>
            <w:vAlign w:val="center"/>
          </w:tcPr>
          <w:p>
            <w:pPr>
              <w:spacing w:line="360" w:lineRule="exact"/>
              <w:jc w:val="center"/>
              <w:rPr>
                <w:rFonts w:ascii="Times New Roman" w:hAnsi="Times New Roman" w:eastAsia="仿宋" w:cs="Times New Roman"/>
                <w:sz w:val="24"/>
                <w:szCs w:val="24"/>
              </w:rPr>
            </w:pPr>
            <w:r>
              <w:rPr>
                <w:rFonts w:ascii="Times New Roman" w:hAnsi="仿宋" w:eastAsia="仿宋" w:cs="Times New Roman"/>
                <w:sz w:val="24"/>
                <w:szCs w:val="24"/>
              </w:rPr>
              <w:t>从重</w:t>
            </w:r>
          </w:p>
        </w:tc>
        <w:tc>
          <w:tcPr>
            <w:tcW w:w="3703" w:type="dxa"/>
            <w:vAlign w:val="center"/>
          </w:tcPr>
          <w:p>
            <w:pPr>
              <w:rPr>
                <w:rFonts w:ascii="Times New Roman" w:hAnsi="Times New Roman" w:eastAsia="仿宋" w:cs="Times New Roman"/>
                <w:sz w:val="24"/>
                <w:szCs w:val="24"/>
              </w:rPr>
            </w:pPr>
            <w:r>
              <w:rPr>
                <w:rFonts w:ascii="Times New Roman" w:hAnsi="Times New Roman" w:eastAsia="仿宋" w:cs="Times New Roman"/>
                <w:sz w:val="24"/>
                <w:szCs w:val="24"/>
              </w:rPr>
              <w:t>1.</w:t>
            </w:r>
            <w:r>
              <w:rPr>
                <w:rFonts w:hint="eastAsia" w:ascii="Times New Roman" w:hAnsi="仿宋" w:eastAsia="仿宋" w:cs="Times New Roman"/>
                <w:sz w:val="24"/>
                <w:szCs w:val="24"/>
              </w:rPr>
              <w:t>不能说明涉案医疗器械来源和流向</w:t>
            </w:r>
            <w:r>
              <w:rPr>
                <w:rFonts w:ascii="Times New Roman" w:hAnsi="仿宋" w:eastAsia="仿宋" w:cs="Times New Roman"/>
                <w:sz w:val="24"/>
                <w:szCs w:val="24"/>
              </w:rPr>
              <w:t>；</w:t>
            </w:r>
          </w:p>
          <w:p>
            <w:pPr>
              <w:rPr>
                <w:rFonts w:ascii="Times New Roman" w:hAnsi="Times New Roman" w:eastAsia="仿宋" w:cs="Times New Roman"/>
                <w:sz w:val="24"/>
                <w:szCs w:val="24"/>
              </w:rPr>
            </w:pPr>
            <w:r>
              <w:rPr>
                <w:rFonts w:ascii="Times New Roman" w:hAnsi="Times New Roman" w:eastAsia="仿宋" w:cs="Times New Roman"/>
                <w:sz w:val="24"/>
                <w:szCs w:val="24"/>
              </w:rPr>
              <w:t>2.</w:t>
            </w:r>
            <w:r>
              <w:rPr>
                <w:rFonts w:hint="eastAsia" w:ascii="Times New Roman" w:hAnsi="仿宋" w:eastAsia="仿宋" w:cs="Times New Roman"/>
                <w:sz w:val="24"/>
                <w:szCs w:val="24"/>
              </w:rPr>
              <w:t>医疗器械安全性能指标项不符合强制性标准或经注册的产品技术要求的</w:t>
            </w:r>
            <w:r>
              <w:rPr>
                <w:rFonts w:ascii="Times New Roman" w:hAnsi="仿宋" w:eastAsia="仿宋" w:cs="Times New Roman"/>
                <w:sz w:val="24"/>
                <w:szCs w:val="24"/>
              </w:rPr>
              <w:t>；</w:t>
            </w:r>
          </w:p>
          <w:p>
            <w:pPr>
              <w:rPr>
                <w:rFonts w:ascii="Times New Roman" w:hAnsi="Times New Roman" w:eastAsia="仿宋" w:cs="Times New Roman"/>
                <w:sz w:val="24"/>
                <w:szCs w:val="24"/>
              </w:rPr>
            </w:pPr>
            <w:r>
              <w:rPr>
                <w:rFonts w:hint="eastAsia" w:ascii="Times New Roman" w:hAnsi="Times New Roman" w:eastAsia="仿宋" w:cs="Times New Roman"/>
                <w:sz w:val="24"/>
                <w:szCs w:val="24"/>
              </w:rPr>
              <w:t>3</w:t>
            </w:r>
            <w:r>
              <w:rPr>
                <w:rFonts w:ascii="Times New Roman" w:hAnsi="Times New Roman" w:eastAsia="仿宋" w:cs="Times New Roman"/>
                <w:sz w:val="24"/>
                <w:szCs w:val="24"/>
              </w:rPr>
              <w:t>.</w:t>
            </w:r>
            <w:r>
              <w:rPr>
                <w:rFonts w:ascii="Times New Roman" w:hAnsi="仿宋" w:eastAsia="仿宋" w:cs="Times New Roman"/>
                <w:sz w:val="24"/>
                <w:szCs w:val="24"/>
              </w:rPr>
              <w:t>符合《河北省市场监督管理行政处罚裁量权适用规则》及《</w:t>
            </w:r>
            <w:r>
              <w:rPr>
                <w:rFonts w:ascii="Times New Roman" w:hAnsi="仿宋" w:eastAsia="仿宋" w:cs="Times New Roman"/>
                <w:bCs/>
                <w:sz w:val="24"/>
                <w:szCs w:val="24"/>
              </w:rPr>
              <w:t>河北省</w:t>
            </w:r>
            <w:r>
              <w:rPr>
                <w:rFonts w:hint="eastAsia" w:ascii="Times New Roman" w:hAnsi="仿宋" w:eastAsia="仿宋" w:cs="Times New Roman"/>
                <w:bCs/>
                <w:sz w:val="24"/>
                <w:szCs w:val="24"/>
              </w:rPr>
              <w:t>医疗器械</w:t>
            </w:r>
            <w:r>
              <w:rPr>
                <w:rFonts w:ascii="Times New Roman" w:hAnsi="仿宋" w:eastAsia="仿宋" w:cs="Times New Roman"/>
                <w:bCs/>
                <w:sz w:val="24"/>
                <w:szCs w:val="24"/>
              </w:rPr>
              <w:t>行政处罚裁量适用情形</w:t>
            </w:r>
            <w:r>
              <w:rPr>
                <w:rFonts w:ascii="Times New Roman" w:hAnsi="仿宋" w:eastAsia="仿宋" w:cs="Times New Roman"/>
                <w:sz w:val="24"/>
                <w:szCs w:val="24"/>
              </w:rPr>
              <w:t>》从重行政处罚情形的。</w:t>
            </w:r>
          </w:p>
        </w:tc>
        <w:tc>
          <w:tcPr>
            <w:tcW w:w="3471" w:type="dxa"/>
            <w:vAlign w:val="center"/>
          </w:tcPr>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货值金额不足1万元的：12万元以上15万元以下罚款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货值金额1万元以上的：货值金额25.5倍以上30倍以下罚款</w:t>
            </w:r>
          </w:p>
          <w:p>
            <w:pPr>
              <w:spacing w:line="360" w:lineRule="exact"/>
              <w:rPr>
                <w:rFonts w:ascii="Times New Roman" w:hAnsi="仿宋" w:eastAsia="仿宋" w:cs="Times New Roman"/>
                <w:sz w:val="24"/>
                <w:szCs w:val="24"/>
              </w:rPr>
            </w:pPr>
            <w:r>
              <w:rPr>
                <w:rFonts w:hint="eastAsia" w:ascii="Times New Roman" w:hAnsi="仿宋" w:eastAsia="仿宋" w:cs="Times New Roman"/>
                <w:sz w:val="24"/>
                <w:szCs w:val="24"/>
              </w:rPr>
              <w:t>情节严重的：</w:t>
            </w:r>
          </w:p>
          <w:p>
            <w:pPr>
              <w:spacing w:line="360" w:lineRule="exact"/>
              <w:rPr>
                <w:rFonts w:ascii="Times New Roman" w:hAnsi="Times New Roman" w:eastAsia="仿宋" w:cs="Times New Roman"/>
                <w:sz w:val="24"/>
                <w:szCs w:val="24"/>
              </w:rPr>
            </w:pPr>
            <w:r>
              <w:rPr>
                <w:rFonts w:hint="eastAsia" w:ascii="Times New Roman" w:hAnsi="仿宋" w:eastAsia="仿宋" w:cs="Times New Roman"/>
                <w:sz w:val="24"/>
                <w:szCs w:val="24"/>
              </w:rPr>
              <w:t>个人：所获收入的2.</w:t>
            </w:r>
            <w:r>
              <w:rPr>
                <w:rFonts w:hint="eastAsia" w:ascii="Times New Roman" w:hAnsi="仿宋" w:eastAsia="仿宋" w:cs="Times New Roman"/>
                <w:sz w:val="24"/>
                <w:szCs w:val="24"/>
                <w:lang w:val="en-US" w:eastAsia="zh-CN"/>
              </w:rPr>
              <w:t>19</w:t>
            </w:r>
            <w:r>
              <w:rPr>
                <w:rFonts w:hint="eastAsia" w:ascii="Times New Roman" w:hAnsi="仿宋" w:eastAsia="仿宋" w:cs="Times New Roman"/>
                <w:sz w:val="24"/>
                <w:szCs w:val="24"/>
              </w:rPr>
              <w:t>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303" w:type="dxa"/>
            <w:vAlign w:val="center"/>
          </w:tcPr>
          <w:p>
            <w:pPr>
              <w:jc w:val="center"/>
              <w:rPr>
                <w:rFonts w:ascii="Times New Roman" w:hAnsi="Times New Roman" w:eastAsia="仿宋" w:cs="Times New Roman"/>
                <w:sz w:val="24"/>
                <w:szCs w:val="24"/>
              </w:rPr>
            </w:pPr>
            <w:r>
              <w:rPr>
                <w:rFonts w:ascii="Times New Roman" w:hAnsi="仿宋" w:eastAsia="仿宋" w:cs="Times New Roman"/>
                <w:sz w:val="24"/>
                <w:szCs w:val="24"/>
              </w:rPr>
              <w:t>说明</w:t>
            </w:r>
          </w:p>
        </w:tc>
        <w:tc>
          <w:tcPr>
            <w:tcW w:w="8513" w:type="dxa"/>
            <w:gridSpan w:val="3"/>
            <w:vAlign w:val="center"/>
          </w:tcPr>
          <w:p>
            <w:pPr>
              <w:rPr>
                <w:rFonts w:ascii="Times New Roman" w:hAnsi="Times New Roman" w:eastAsia="仿宋" w:cs="Times New Roman"/>
                <w:sz w:val="24"/>
                <w:szCs w:val="24"/>
              </w:rPr>
            </w:pPr>
            <w:r>
              <w:rPr>
                <w:rFonts w:ascii="Times New Roman" w:hAnsi="仿宋" w:eastAsia="仿宋" w:cs="Times New Roman"/>
                <w:sz w:val="24"/>
                <w:szCs w:val="24"/>
              </w:rPr>
              <w:t>在裁量基准中，基本罚</w:t>
            </w:r>
            <w:r>
              <w:rPr>
                <w:rFonts w:hint="eastAsia" w:ascii="Times New Roman" w:hAnsi="仿宋" w:eastAsia="仿宋" w:cs="Times New Roman"/>
                <w:sz w:val="24"/>
                <w:szCs w:val="24"/>
              </w:rPr>
              <w:t>、</w:t>
            </w:r>
            <w:r>
              <w:rPr>
                <w:rFonts w:ascii="Times New Roman" w:hAnsi="仿宋" w:eastAsia="仿宋" w:cs="Times New Roman"/>
                <w:sz w:val="24"/>
                <w:szCs w:val="24"/>
              </w:rPr>
              <w:t>从轻、减轻、从重的，</w:t>
            </w:r>
            <w:r>
              <w:rPr>
                <w:rFonts w:ascii="Times New Roman" w:hAnsi="Times New Roman" w:eastAsia="仿宋" w:cs="Times New Roman"/>
                <w:sz w:val="24"/>
                <w:szCs w:val="24"/>
              </w:rPr>
              <w:t>“</w:t>
            </w:r>
            <w:r>
              <w:rPr>
                <w:rFonts w:ascii="Times New Roman" w:hAnsi="仿宋" w:eastAsia="仿宋" w:cs="Times New Roman"/>
                <w:sz w:val="24"/>
                <w:szCs w:val="24"/>
              </w:rPr>
              <w:t>以下</w:t>
            </w:r>
            <w:r>
              <w:rPr>
                <w:rFonts w:ascii="Times New Roman" w:hAnsi="Times New Roman" w:eastAsia="仿宋" w:cs="Times New Roman"/>
                <w:sz w:val="24"/>
                <w:szCs w:val="24"/>
              </w:rPr>
              <w:t>”</w:t>
            </w:r>
            <w:r>
              <w:rPr>
                <w:rFonts w:hint="eastAsia" w:ascii="Times New Roman" w:hAnsi="仿宋" w:eastAsia="仿宋" w:cs="Times New Roman"/>
                <w:sz w:val="24"/>
                <w:szCs w:val="24"/>
              </w:rPr>
              <w:t>、</w:t>
            </w:r>
            <w:r>
              <w:rPr>
                <w:rFonts w:ascii="Times New Roman" w:hAnsi="Times New Roman" w:eastAsia="仿宋" w:cs="Times New Roman"/>
                <w:sz w:val="24"/>
                <w:szCs w:val="24"/>
              </w:rPr>
              <w:t>“</w:t>
            </w:r>
            <w:r>
              <w:rPr>
                <w:rFonts w:ascii="Times New Roman" w:hAnsi="仿宋" w:eastAsia="仿宋" w:cs="Times New Roman"/>
                <w:sz w:val="24"/>
                <w:szCs w:val="24"/>
              </w:rPr>
              <w:t>以上</w:t>
            </w:r>
            <w:r>
              <w:rPr>
                <w:rFonts w:ascii="Times New Roman" w:hAnsi="Times New Roman" w:eastAsia="仿宋" w:cs="Times New Roman"/>
                <w:sz w:val="24"/>
                <w:szCs w:val="24"/>
              </w:rPr>
              <w:t>”均</w:t>
            </w:r>
            <w:r>
              <w:rPr>
                <w:rFonts w:hint="eastAsia" w:ascii="Times New Roman" w:hAnsi="仿宋" w:eastAsia="仿宋" w:cs="Times New Roman"/>
                <w:sz w:val="24"/>
                <w:szCs w:val="24"/>
              </w:rPr>
              <w:t>含</w:t>
            </w:r>
            <w:r>
              <w:rPr>
                <w:rFonts w:ascii="Times New Roman" w:hAnsi="仿宋" w:eastAsia="仿宋" w:cs="Times New Roman"/>
                <w:sz w:val="24"/>
                <w:szCs w:val="24"/>
              </w:rPr>
              <w:t>本数（下同）。</w:t>
            </w:r>
          </w:p>
        </w:tc>
      </w:tr>
    </w:tbl>
    <w:p>
      <w:pPr>
        <w:rPr>
          <w:rFonts w:ascii="Times New Roman" w:hAnsi="Times New Roman" w:eastAsia="仿宋" w:cs="Times New Roman"/>
          <w:sz w:val="32"/>
          <w:szCs w:val="32"/>
        </w:rPr>
      </w:pPr>
    </w:p>
    <w:sectPr>
      <w:footerReference r:id="rId3" w:type="default"/>
      <w:footerReference r:id="rId4" w:type="even"/>
      <w:pgSz w:w="11906" w:h="16838"/>
      <w:pgMar w:top="1814" w:right="1531" w:bottom="1701" w:left="1531" w:header="851"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65"/>
      <w:docPartObj>
        <w:docPartGallery w:val="autotext"/>
      </w:docPartObj>
    </w:sdtPr>
    <w:sdtContent>
      <w:p>
        <w:pPr>
          <w:pStyle w:val="2"/>
          <w:numPr>
            <w:ilvl w:val="0"/>
            <w:numId w:val="1"/>
          </w:num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ascii="Times New Roman" w:hAnsi="Times New Roman" w:cs="Times New Roman"/>
            <w:sz w:val="24"/>
            <w:szCs w:val="24"/>
          </w:rPr>
          <w:t xml:space="preserve"> —</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4193"/>
      <w:docPartObj>
        <w:docPartGallery w:val="autotext"/>
      </w:docPartObj>
    </w:sdtPr>
    <w:sdtContent>
      <w:p>
        <w:pPr>
          <w:pStyle w:val="2"/>
          <w:numPr>
            <w:ilvl w:val="0"/>
            <w:numId w:val="2"/>
          </w:num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hint="eastAsia" w:ascii="Times New Roman" w:hAnsi="Times New Roman" w:cs="Times New Roman"/>
            <w:sz w:val="28"/>
            <w:szCs w:val="28"/>
          </w:rPr>
          <w:t xml:space="preserve"> </w:t>
        </w:r>
        <w:r>
          <w:rPr>
            <w:rFonts w:hint="eastAsia"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35CD"/>
    <w:multiLevelType w:val="multilevel"/>
    <w:tmpl w:val="132235CD"/>
    <w:lvl w:ilvl="0" w:tentative="0">
      <w:start w:val="8"/>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E8B734D"/>
    <w:multiLevelType w:val="multilevel"/>
    <w:tmpl w:val="7E8B734D"/>
    <w:lvl w:ilvl="0" w:tentative="0">
      <w:start w:val="7"/>
      <w:numFmt w:val="bullet"/>
      <w:lvlText w:val="—"/>
      <w:lvlJc w:val="left"/>
      <w:pPr>
        <w:ind w:left="360" w:hanging="360"/>
      </w:pPr>
      <w:rPr>
        <w:rFonts w:hint="eastAsia" w:ascii="宋体" w:hAnsi="宋体" w:eastAsia="宋体" w:cs="Times New Roman"/>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373D"/>
    <w:rsid w:val="00004631"/>
    <w:rsid w:val="0000517E"/>
    <w:rsid w:val="00012397"/>
    <w:rsid w:val="00031453"/>
    <w:rsid w:val="000336E6"/>
    <w:rsid w:val="000376F0"/>
    <w:rsid w:val="00037CB9"/>
    <w:rsid w:val="000627D4"/>
    <w:rsid w:val="000655FB"/>
    <w:rsid w:val="0009174A"/>
    <w:rsid w:val="00091BD3"/>
    <w:rsid w:val="0009450F"/>
    <w:rsid w:val="000A07A6"/>
    <w:rsid w:val="000A2CCF"/>
    <w:rsid w:val="000B1A66"/>
    <w:rsid w:val="000C1B4D"/>
    <w:rsid w:val="000C240C"/>
    <w:rsid w:val="000D4CA3"/>
    <w:rsid w:val="000E0DE3"/>
    <w:rsid w:val="000F3878"/>
    <w:rsid w:val="00100ECA"/>
    <w:rsid w:val="00106508"/>
    <w:rsid w:val="00110784"/>
    <w:rsid w:val="001210F2"/>
    <w:rsid w:val="00125034"/>
    <w:rsid w:val="00135597"/>
    <w:rsid w:val="00141E72"/>
    <w:rsid w:val="00142AC2"/>
    <w:rsid w:val="00144B13"/>
    <w:rsid w:val="00177093"/>
    <w:rsid w:val="001806DF"/>
    <w:rsid w:val="001942C5"/>
    <w:rsid w:val="0019560B"/>
    <w:rsid w:val="001A0815"/>
    <w:rsid w:val="001A42B6"/>
    <w:rsid w:val="001B3BE0"/>
    <w:rsid w:val="001B6365"/>
    <w:rsid w:val="001C273E"/>
    <w:rsid w:val="001E377A"/>
    <w:rsid w:val="001E7729"/>
    <w:rsid w:val="001F31E3"/>
    <w:rsid w:val="001F6F8C"/>
    <w:rsid w:val="0020062C"/>
    <w:rsid w:val="00200CF5"/>
    <w:rsid w:val="00201495"/>
    <w:rsid w:val="00211693"/>
    <w:rsid w:val="0021341B"/>
    <w:rsid w:val="00225789"/>
    <w:rsid w:val="00232820"/>
    <w:rsid w:val="0023627E"/>
    <w:rsid w:val="00237081"/>
    <w:rsid w:val="002415C6"/>
    <w:rsid w:val="0024210C"/>
    <w:rsid w:val="00246D9D"/>
    <w:rsid w:val="002A08C1"/>
    <w:rsid w:val="002B1499"/>
    <w:rsid w:val="002B5871"/>
    <w:rsid w:val="002C0BE6"/>
    <w:rsid w:val="002D6632"/>
    <w:rsid w:val="002E7267"/>
    <w:rsid w:val="00307B94"/>
    <w:rsid w:val="0031149A"/>
    <w:rsid w:val="0031594F"/>
    <w:rsid w:val="003174F3"/>
    <w:rsid w:val="003243F2"/>
    <w:rsid w:val="003303E4"/>
    <w:rsid w:val="00331613"/>
    <w:rsid w:val="0033492B"/>
    <w:rsid w:val="003441A9"/>
    <w:rsid w:val="00345F46"/>
    <w:rsid w:val="003807F5"/>
    <w:rsid w:val="003852FC"/>
    <w:rsid w:val="003A66D1"/>
    <w:rsid w:val="003C6D68"/>
    <w:rsid w:val="003C7803"/>
    <w:rsid w:val="003D3123"/>
    <w:rsid w:val="003F2CD3"/>
    <w:rsid w:val="004118C3"/>
    <w:rsid w:val="004177F9"/>
    <w:rsid w:val="00420C4C"/>
    <w:rsid w:val="00421FB0"/>
    <w:rsid w:val="00427005"/>
    <w:rsid w:val="0045040E"/>
    <w:rsid w:val="00450BE3"/>
    <w:rsid w:val="00452A7D"/>
    <w:rsid w:val="00481BEB"/>
    <w:rsid w:val="004857D6"/>
    <w:rsid w:val="0049105A"/>
    <w:rsid w:val="004A1790"/>
    <w:rsid w:val="004A7242"/>
    <w:rsid w:val="004A74A8"/>
    <w:rsid w:val="004A79AD"/>
    <w:rsid w:val="004B6446"/>
    <w:rsid w:val="004C0EA9"/>
    <w:rsid w:val="004C0EB5"/>
    <w:rsid w:val="004D775B"/>
    <w:rsid w:val="004E5042"/>
    <w:rsid w:val="004F2EDB"/>
    <w:rsid w:val="004F51CF"/>
    <w:rsid w:val="00503360"/>
    <w:rsid w:val="00507267"/>
    <w:rsid w:val="005130CF"/>
    <w:rsid w:val="005316C3"/>
    <w:rsid w:val="00545322"/>
    <w:rsid w:val="00561DE7"/>
    <w:rsid w:val="00573BCD"/>
    <w:rsid w:val="00576439"/>
    <w:rsid w:val="00576DD1"/>
    <w:rsid w:val="00585765"/>
    <w:rsid w:val="00587749"/>
    <w:rsid w:val="005A4E77"/>
    <w:rsid w:val="005B1F9C"/>
    <w:rsid w:val="005B4886"/>
    <w:rsid w:val="005B643D"/>
    <w:rsid w:val="005C7631"/>
    <w:rsid w:val="005D24EB"/>
    <w:rsid w:val="005D2F53"/>
    <w:rsid w:val="005D6116"/>
    <w:rsid w:val="005E22AA"/>
    <w:rsid w:val="005E27E3"/>
    <w:rsid w:val="005E3745"/>
    <w:rsid w:val="005F5D75"/>
    <w:rsid w:val="00601A35"/>
    <w:rsid w:val="00617AB6"/>
    <w:rsid w:val="00620615"/>
    <w:rsid w:val="0064583F"/>
    <w:rsid w:val="00646150"/>
    <w:rsid w:val="006567BC"/>
    <w:rsid w:val="006569FE"/>
    <w:rsid w:val="00662588"/>
    <w:rsid w:val="00676407"/>
    <w:rsid w:val="00680341"/>
    <w:rsid w:val="00686D94"/>
    <w:rsid w:val="0068729C"/>
    <w:rsid w:val="00692B52"/>
    <w:rsid w:val="006940BD"/>
    <w:rsid w:val="00697158"/>
    <w:rsid w:val="006B5BE7"/>
    <w:rsid w:val="006D1AC1"/>
    <w:rsid w:val="006D4E9A"/>
    <w:rsid w:val="006F469C"/>
    <w:rsid w:val="0073693A"/>
    <w:rsid w:val="0073732E"/>
    <w:rsid w:val="007457EE"/>
    <w:rsid w:val="0076086F"/>
    <w:rsid w:val="007763A1"/>
    <w:rsid w:val="00776FAE"/>
    <w:rsid w:val="00785D7F"/>
    <w:rsid w:val="007862DE"/>
    <w:rsid w:val="007949F1"/>
    <w:rsid w:val="007B003C"/>
    <w:rsid w:val="007B378F"/>
    <w:rsid w:val="007B3D48"/>
    <w:rsid w:val="007B4C38"/>
    <w:rsid w:val="007B5338"/>
    <w:rsid w:val="007B5CE2"/>
    <w:rsid w:val="007E4BA0"/>
    <w:rsid w:val="007E5234"/>
    <w:rsid w:val="00807DBF"/>
    <w:rsid w:val="008147B2"/>
    <w:rsid w:val="00814E9E"/>
    <w:rsid w:val="00824787"/>
    <w:rsid w:val="008524E4"/>
    <w:rsid w:val="00860229"/>
    <w:rsid w:val="00870B0B"/>
    <w:rsid w:val="0087231A"/>
    <w:rsid w:val="0087333F"/>
    <w:rsid w:val="00873CB8"/>
    <w:rsid w:val="00874A98"/>
    <w:rsid w:val="00876F22"/>
    <w:rsid w:val="0088277E"/>
    <w:rsid w:val="0088799E"/>
    <w:rsid w:val="008960E7"/>
    <w:rsid w:val="008B3552"/>
    <w:rsid w:val="008C7CE4"/>
    <w:rsid w:val="008D7092"/>
    <w:rsid w:val="00900E12"/>
    <w:rsid w:val="00903B28"/>
    <w:rsid w:val="00913ACB"/>
    <w:rsid w:val="00914724"/>
    <w:rsid w:val="0094152D"/>
    <w:rsid w:val="00955D4A"/>
    <w:rsid w:val="00957919"/>
    <w:rsid w:val="009647B8"/>
    <w:rsid w:val="009654B3"/>
    <w:rsid w:val="00973F0A"/>
    <w:rsid w:val="00980FC2"/>
    <w:rsid w:val="009A37A2"/>
    <w:rsid w:val="009A3D5E"/>
    <w:rsid w:val="009B1D5A"/>
    <w:rsid w:val="009D31D6"/>
    <w:rsid w:val="009D4195"/>
    <w:rsid w:val="009E71D2"/>
    <w:rsid w:val="009F7884"/>
    <w:rsid w:val="00A050B1"/>
    <w:rsid w:val="00A05AD6"/>
    <w:rsid w:val="00A13A5A"/>
    <w:rsid w:val="00A14413"/>
    <w:rsid w:val="00A236EC"/>
    <w:rsid w:val="00A351DD"/>
    <w:rsid w:val="00A4056E"/>
    <w:rsid w:val="00A44E04"/>
    <w:rsid w:val="00A6288F"/>
    <w:rsid w:val="00A65DAC"/>
    <w:rsid w:val="00A71DB6"/>
    <w:rsid w:val="00A86AFF"/>
    <w:rsid w:val="00AA502F"/>
    <w:rsid w:val="00AC57D1"/>
    <w:rsid w:val="00AD6839"/>
    <w:rsid w:val="00B010B2"/>
    <w:rsid w:val="00B10AB7"/>
    <w:rsid w:val="00B241C2"/>
    <w:rsid w:val="00B30229"/>
    <w:rsid w:val="00B35DCE"/>
    <w:rsid w:val="00B50B12"/>
    <w:rsid w:val="00B51969"/>
    <w:rsid w:val="00B56515"/>
    <w:rsid w:val="00B60380"/>
    <w:rsid w:val="00B60B73"/>
    <w:rsid w:val="00B67C0D"/>
    <w:rsid w:val="00B71EDF"/>
    <w:rsid w:val="00B741B0"/>
    <w:rsid w:val="00B80F61"/>
    <w:rsid w:val="00B85D6F"/>
    <w:rsid w:val="00B878ED"/>
    <w:rsid w:val="00BA05FA"/>
    <w:rsid w:val="00BA21D1"/>
    <w:rsid w:val="00BC3CA2"/>
    <w:rsid w:val="00BC4FEF"/>
    <w:rsid w:val="00BD6416"/>
    <w:rsid w:val="00BE022D"/>
    <w:rsid w:val="00BE2462"/>
    <w:rsid w:val="00BE7CD2"/>
    <w:rsid w:val="00BF03F3"/>
    <w:rsid w:val="00BF60F1"/>
    <w:rsid w:val="00C065AA"/>
    <w:rsid w:val="00C07D51"/>
    <w:rsid w:val="00C1172D"/>
    <w:rsid w:val="00C20FB1"/>
    <w:rsid w:val="00C3422A"/>
    <w:rsid w:val="00C358A6"/>
    <w:rsid w:val="00C37861"/>
    <w:rsid w:val="00C41D36"/>
    <w:rsid w:val="00C432D2"/>
    <w:rsid w:val="00C449D4"/>
    <w:rsid w:val="00C57050"/>
    <w:rsid w:val="00C57F0D"/>
    <w:rsid w:val="00C60304"/>
    <w:rsid w:val="00C609EB"/>
    <w:rsid w:val="00C615AF"/>
    <w:rsid w:val="00C7112C"/>
    <w:rsid w:val="00C76FFC"/>
    <w:rsid w:val="00C97CA4"/>
    <w:rsid w:val="00CA3305"/>
    <w:rsid w:val="00CB3DC5"/>
    <w:rsid w:val="00CC2477"/>
    <w:rsid w:val="00CC7EB0"/>
    <w:rsid w:val="00CD2391"/>
    <w:rsid w:val="00D02D8B"/>
    <w:rsid w:val="00D043C3"/>
    <w:rsid w:val="00D10F76"/>
    <w:rsid w:val="00D1650A"/>
    <w:rsid w:val="00D176D6"/>
    <w:rsid w:val="00D2216C"/>
    <w:rsid w:val="00D24DC7"/>
    <w:rsid w:val="00D268EA"/>
    <w:rsid w:val="00D31385"/>
    <w:rsid w:val="00D328CA"/>
    <w:rsid w:val="00D33221"/>
    <w:rsid w:val="00D33C7B"/>
    <w:rsid w:val="00D40DA3"/>
    <w:rsid w:val="00D42857"/>
    <w:rsid w:val="00D45067"/>
    <w:rsid w:val="00D4537A"/>
    <w:rsid w:val="00D54F8B"/>
    <w:rsid w:val="00D55BE1"/>
    <w:rsid w:val="00D562B6"/>
    <w:rsid w:val="00D578F2"/>
    <w:rsid w:val="00D661D0"/>
    <w:rsid w:val="00D76182"/>
    <w:rsid w:val="00D90B6C"/>
    <w:rsid w:val="00D95FBD"/>
    <w:rsid w:val="00DD3ED2"/>
    <w:rsid w:val="00DD750B"/>
    <w:rsid w:val="00DD7EC7"/>
    <w:rsid w:val="00DE0C17"/>
    <w:rsid w:val="00DE5BAC"/>
    <w:rsid w:val="00DE70B1"/>
    <w:rsid w:val="00DF0BB7"/>
    <w:rsid w:val="00DF5068"/>
    <w:rsid w:val="00E01CC1"/>
    <w:rsid w:val="00E03429"/>
    <w:rsid w:val="00E13C6D"/>
    <w:rsid w:val="00E33E00"/>
    <w:rsid w:val="00E34CE3"/>
    <w:rsid w:val="00E53018"/>
    <w:rsid w:val="00E5410C"/>
    <w:rsid w:val="00E72ADB"/>
    <w:rsid w:val="00E85F9D"/>
    <w:rsid w:val="00EA0181"/>
    <w:rsid w:val="00EA31DB"/>
    <w:rsid w:val="00EA45FC"/>
    <w:rsid w:val="00EB7352"/>
    <w:rsid w:val="00ED6E12"/>
    <w:rsid w:val="00ED72A5"/>
    <w:rsid w:val="00EE2C77"/>
    <w:rsid w:val="00F20924"/>
    <w:rsid w:val="00F22B97"/>
    <w:rsid w:val="00F246DE"/>
    <w:rsid w:val="00F270E1"/>
    <w:rsid w:val="00F7007E"/>
    <w:rsid w:val="00F751DA"/>
    <w:rsid w:val="00F76FBD"/>
    <w:rsid w:val="00F808D0"/>
    <w:rsid w:val="00F82463"/>
    <w:rsid w:val="00F919ED"/>
    <w:rsid w:val="00F91BE3"/>
    <w:rsid w:val="00FB1A4C"/>
    <w:rsid w:val="00FB418C"/>
    <w:rsid w:val="00FB65BC"/>
    <w:rsid w:val="00FD36D8"/>
    <w:rsid w:val="00FD386B"/>
    <w:rsid w:val="00FE0A35"/>
    <w:rsid w:val="00FF0DAE"/>
    <w:rsid w:val="00FF45B5"/>
    <w:rsid w:val="00FF4D65"/>
    <w:rsid w:val="00FF6825"/>
    <w:rsid w:val="00FF75CF"/>
    <w:rsid w:val="0C7302A4"/>
    <w:rsid w:val="0CAF225A"/>
    <w:rsid w:val="1D9E7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semiHidden/>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585520-24FE-450D-9575-372E91421B2E}">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262</Words>
  <Characters>1494</Characters>
  <Lines>12</Lines>
  <Paragraphs>3</Paragraphs>
  <TotalTime>2</TotalTime>
  <ScaleCrop>false</ScaleCrop>
  <LinksUpToDate>false</LinksUpToDate>
  <CharactersWithSpaces>1753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郝强</cp:lastModifiedBy>
  <cp:lastPrinted>2021-01-06T02:58:00Z</cp:lastPrinted>
  <dcterms:modified xsi:type="dcterms:W3CDTF">2021-10-21T01:49:55Z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