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exact"/>
        <w:rPr>
          <w:rFonts w:ascii="Times New Roman" w:hAnsi="Times New Roman" w:eastAsia="仿宋" w:cs="Times New Roman"/>
          <w:sz w:val="32"/>
          <w:szCs w:val="32"/>
        </w:rPr>
      </w:pPr>
    </w:p>
    <w:tbl>
      <w:tblPr>
        <w:tblStyle w:val="6"/>
        <w:tblpPr w:leftFromText="180" w:rightFromText="180" w:vertAnchor="text" w:horzAnchor="margin" w:tblpXSpec="center" w:tblpY="151"/>
        <w:tblW w:w="9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3"/>
        <w:gridCol w:w="1339"/>
        <w:gridCol w:w="3703"/>
        <w:gridCol w:w="3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03" w:type="dxa"/>
            <w:vAlign w:val="center"/>
          </w:tcPr>
          <w:p>
            <w:pPr>
              <w:spacing w:line="360" w:lineRule="exact"/>
              <w:jc w:val="center"/>
              <w:rPr>
                <w:rFonts w:ascii="Times New Roman" w:hAnsi="Times New Roman" w:eastAsia="黑体" w:cs="Times New Roman"/>
                <w:sz w:val="24"/>
                <w:szCs w:val="24"/>
              </w:rPr>
            </w:pPr>
            <w:r>
              <w:rPr>
                <w:rFonts w:ascii="Times New Roman" w:hAnsi="黑体" w:eastAsia="黑体" w:cs="Times New Roman"/>
                <w:sz w:val="24"/>
                <w:szCs w:val="24"/>
              </w:rPr>
              <w:t>编码</w:t>
            </w:r>
          </w:p>
        </w:tc>
        <w:tc>
          <w:tcPr>
            <w:tcW w:w="8513" w:type="dxa"/>
            <w:gridSpan w:val="3"/>
            <w:vAlign w:val="center"/>
          </w:tcPr>
          <w:p>
            <w:pPr>
              <w:spacing w:line="36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HEBMPA-C-</w:t>
            </w:r>
            <w:r>
              <w:rPr>
                <w:rFonts w:hint="eastAsia" w:ascii="Times New Roman" w:hAnsi="Times New Roman" w:eastAsia="黑体" w:cs="Times New Roman"/>
                <w:sz w:val="24"/>
                <w:szCs w:val="24"/>
              </w:rPr>
              <w:t>2</w:t>
            </w:r>
            <w:r>
              <w:rPr>
                <w:rFonts w:ascii="Times New Roman" w:hAnsi="Times New Roman" w:eastAsia="黑体" w:cs="Times New Roman"/>
                <w:sz w:val="24"/>
                <w:szCs w:val="24"/>
              </w:rPr>
              <w:t>-0</w:t>
            </w:r>
            <w:r>
              <w:rPr>
                <w:rFonts w:hint="eastAsia" w:ascii="Times New Roman" w:hAnsi="Times New Roman" w:eastAsia="黑体" w:cs="Times New Roman"/>
                <w:sz w:val="24"/>
                <w:szCs w:val="24"/>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303" w:type="dxa"/>
            <w:vAlign w:val="center"/>
          </w:tcPr>
          <w:p>
            <w:pPr>
              <w:spacing w:line="360" w:lineRule="exact"/>
              <w:rPr>
                <w:rFonts w:ascii="Times New Roman" w:hAnsi="Times New Roman" w:eastAsia="仿宋" w:cs="Times New Roman"/>
                <w:sz w:val="24"/>
                <w:szCs w:val="24"/>
              </w:rPr>
            </w:pPr>
            <w:r>
              <w:rPr>
                <w:rFonts w:ascii="Times New Roman" w:hAnsi="仿宋" w:eastAsia="仿宋" w:cs="Times New Roman"/>
                <w:sz w:val="24"/>
                <w:szCs w:val="24"/>
              </w:rPr>
              <w:t>违法行为</w:t>
            </w:r>
          </w:p>
        </w:tc>
        <w:tc>
          <w:tcPr>
            <w:tcW w:w="8513" w:type="dxa"/>
            <w:gridSpan w:val="3"/>
            <w:vAlign w:val="center"/>
          </w:tcPr>
          <w:p>
            <w:pPr>
              <w:spacing w:line="36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医疗器械临床试验机构开展医疗器械临床试验未遵守临床试验质量管理规范。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303" w:type="dxa"/>
            <w:vAlign w:val="center"/>
          </w:tcPr>
          <w:p>
            <w:pPr>
              <w:spacing w:line="360" w:lineRule="exact"/>
              <w:rPr>
                <w:rFonts w:ascii="Times New Roman" w:hAnsi="Times New Roman" w:eastAsia="仿宋" w:cs="Times New Roman"/>
                <w:sz w:val="24"/>
                <w:szCs w:val="24"/>
              </w:rPr>
            </w:pPr>
            <w:r>
              <w:rPr>
                <w:rFonts w:ascii="Times New Roman" w:hAnsi="仿宋" w:eastAsia="仿宋" w:cs="Times New Roman"/>
                <w:sz w:val="24"/>
                <w:szCs w:val="24"/>
              </w:rPr>
              <w:t>违法依据</w:t>
            </w:r>
          </w:p>
        </w:tc>
        <w:tc>
          <w:tcPr>
            <w:tcW w:w="8513" w:type="dxa"/>
            <w:gridSpan w:val="3"/>
            <w:vAlign w:val="center"/>
          </w:tcPr>
          <w:p>
            <w:pPr>
              <w:spacing w:line="300" w:lineRule="exact"/>
              <w:rPr>
                <w:rFonts w:hint="eastAsia" w:ascii="仿宋" w:hAnsi="仿宋" w:eastAsia="仿宋" w:cs="Times New Roman"/>
                <w:sz w:val="24"/>
                <w:szCs w:val="24"/>
              </w:rPr>
            </w:pPr>
            <w:r>
              <w:rPr>
                <w:rFonts w:hint="eastAsia" w:ascii="Times New Roman" w:hAnsi="Times New Roman" w:eastAsia="仿宋" w:cs="Times New Roman"/>
                <w:sz w:val="24"/>
                <w:szCs w:val="24"/>
                <w:lang w:val="en-US" w:eastAsia="zh-CN"/>
              </w:rPr>
              <w:t>1.</w:t>
            </w:r>
            <w:r>
              <w:rPr>
                <w:rFonts w:hint="eastAsia" w:ascii="仿宋" w:hAnsi="仿宋" w:eastAsia="仿宋" w:cs="Times New Roman"/>
                <w:sz w:val="24"/>
                <w:szCs w:val="24"/>
              </w:rPr>
              <w:t>《医疗器械监督管理条例》第二十六条第一款　开展医疗器械临床试验，应当按照医疗器械临床试验质量管理规范的要求，在具备相应条件的临床试验机构进行，并向临床试验申办者所在地省、自治区、直辖市人民政府药品监督管理部门备案。接受临床试验备案的药品监督管理部门应当将备案情况通报临床试验机构所在地同级药品监督管理部门和卫生主管部门。</w:t>
            </w:r>
          </w:p>
          <w:p>
            <w:pPr>
              <w:spacing w:line="300" w:lineRule="exact"/>
              <w:rPr>
                <w:rFonts w:hint="eastAsia" w:ascii="仿宋" w:hAnsi="仿宋" w:eastAsia="仿宋" w:cs="Times New Roman"/>
                <w:sz w:val="24"/>
                <w:szCs w:val="24"/>
                <w:lang w:val="en-US" w:eastAsia="zh-CN"/>
              </w:rPr>
            </w:pPr>
            <w:r>
              <w:rPr>
                <w:rFonts w:hint="eastAsia" w:ascii="Times New Roman" w:hAnsi="Times New Roman" w:eastAsia="仿宋" w:cs="Times New Roman"/>
                <w:sz w:val="24"/>
                <w:szCs w:val="24"/>
                <w:lang w:val="en-US" w:eastAsia="zh-CN"/>
              </w:rPr>
              <w:t>2.</w:t>
            </w:r>
            <w:r>
              <w:rPr>
                <w:rFonts w:hint="eastAsia" w:ascii="仿宋" w:hAnsi="仿宋" w:eastAsia="仿宋" w:cs="Times New Roman"/>
                <w:sz w:val="24"/>
                <w:szCs w:val="24"/>
                <w:lang w:val="en-US" w:eastAsia="zh-CN"/>
              </w:rPr>
              <w:t>《医疗器械注册与备案管理办法》第三十七条  开展医疗器械临床试验，应当按照医疗器械临床试验质量管理规范的要求，在具备相应条件并按照规定备案的医疗器械临床试验机构内进行。临床试验开始前，临床试验申办者应当向所在地省、自治区、直辖市药品监督管理部门进行临床试验备案。临床试验医疗器械的生产应当符合医疗器械生产质量管理规范的相关要求。</w:t>
            </w:r>
          </w:p>
          <w:p>
            <w:pPr>
              <w:spacing w:line="300" w:lineRule="exact"/>
              <w:rPr>
                <w:rFonts w:hint="default" w:ascii="仿宋" w:hAnsi="仿宋" w:eastAsia="仿宋" w:cs="Times New Roman"/>
                <w:sz w:val="24"/>
                <w:szCs w:val="24"/>
                <w:lang w:val="en-US" w:eastAsia="zh-CN"/>
              </w:rPr>
            </w:pPr>
            <w:r>
              <w:rPr>
                <w:rFonts w:hint="eastAsia" w:ascii="Times New Roman" w:hAnsi="Times New Roman" w:eastAsia="仿宋" w:cs="Times New Roman"/>
                <w:sz w:val="24"/>
                <w:szCs w:val="24"/>
                <w:lang w:val="en-US" w:eastAsia="zh-CN"/>
              </w:rPr>
              <w:t>3.《体外诊断试剂注册与备案管理办法》第四十一条  开展体外诊断试剂临床试验，应当按照医疗器械临床试验质量管理规范的要求，在具备相应条件并按照规定备案的医疗器械临床试验机构内进行。临床试验开始前，临床试验申办者应当向所在地省、自治区、直辖市药品监督管理部门进行临床试验备案。临床试验体外诊断试剂的生产应当符合医疗器械生产质量管理规范的相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处罚依据</w:t>
            </w:r>
          </w:p>
        </w:tc>
        <w:tc>
          <w:tcPr>
            <w:tcW w:w="8513" w:type="dxa"/>
            <w:gridSpan w:val="3"/>
            <w:vAlign w:val="center"/>
          </w:tcPr>
          <w:p>
            <w:pPr>
              <w:rPr>
                <w:rFonts w:hint="eastAsia"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1.</w:t>
            </w:r>
            <w:r>
              <w:rPr>
                <w:rFonts w:hint="eastAsia" w:ascii="Times New Roman" w:hAnsi="Times New Roman" w:eastAsia="仿宋" w:cs="Times New Roman"/>
                <w:sz w:val="24"/>
                <w:szCs w:val="24"/>
              </w:rPr>
              <w:t>《医疗器械监督管理条例》第九十四条  医疗器械临床试验机构开展医疗器械临床试验未遵守临床试验质量管理规范的，由负责药品监</w:t>
            </w:r>
            <w:bookmarkStart w:id="0" w:name="_GoBack"/>
            <w:bookmarkEnd w:id="0"/>
            <w:r>
              <w:rPr>
                <w:rFonts w:hint="eastAsia" w:ascii="Times New Roman" w:hAnsi="Times New Roman" w:eastAsia="仿宋" w:cs="Times New Roman"/>
                <w:sz w:val="24"/>
                <w:szCs w:val="24"/>
              </w:rPr>
              <w:t>督管理的部门责令改正或者立即停止临床试验，处5万元以上10万元以下罚款；造成严重后果的，5年内禁止其开展相关专业医疗器械临床试验，由卫生主管部门对违法单位的法定代表人、主要负责人、直接负责的主管人员和其他责任人员，没收违法行为发生期间自本单位所获收入，并处所获收入30%以上3倍以下罚款，依法给予处分。</w:t>
            </w:r>
          </w:p>
          <w:p>
            <w:pPr>
              <w:rPr>
                <w:rFonts w:hint="eastAsia"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2.</w:t>
            </w:r>
            <w:r>
              <w:rPr>
                <w:rFonts w:hint="eastAsia" w:ascii="Times New Roman" w:hAnsi="Times New Roman" w:eastAsia="仿宋" w:cs="Times New Roman"/>
                <w:sz w:val="24"/>
                <w:szCs w:val="24"/>
                <w:lang w:eastAsia="zh-CN"/>
              </w:rPr>
              <w:t>《医疗器械注册与备案管理办法》</w:t>
            </w:r>
            <w:r>
              <w:rPr>
                <w:rFonts w:hint="eastAsia" w:ascii="Times New Roman" w:hAnsi="Times New Roman" w:eastAsia="仿宋" w:cs="Times New Roman"/>
                <w:sz w:val="24"/>
                <w:szCs w:val="24"/>
              </w:rPr>
              <w:t>第一百零八条</w:t>
            </w:r>
            <w:r>
              <w:rPr>
                <w:rFonts w:hint="eastAsia" w:ascii="Times New Roman" w:hAnsi="Times New Roman" w:eastAsia="仿宋" w:cs="Times New Roman"/>
                <w:sz w:val="24"/>
                <w:szCs w:val="24"/>
                <w:lang w:val="en-US" w:eastAsia="zh-CN"/>
              </w:rPr>
              <w:t xml:space="preserve">  </w:t>
            </w:r>
            <w:r>
              <w:rPr>
                <w:rFonts w:hint="eastAsia" w:ascii="Times New Roman" w:hAnsi="Times New Roman" w:eastAsia="仿宋" w:cs="Times New Roman"/>
                <w:sz w:val="24"/>
                <w:szCs w:val="24"/>
              </w:rPr>
              <w:t>开展医疗器械临床试验未遵守临床试验质量管理规范的，依照《医疗器械监督管理条例》第九十四条予以处罚。</w:t>
            </w:r>
          </w:p>
          <w:p>
            <w:pP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3.《体外诊断试剂注册与备案管理办法》第一百零八条  开展体外诊断试剂临床试验未遵守临床试验质量管理规范的，依照《医疗器械监督管理条例》第九十四条予以处罚。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处罚种类</w:t>
            </w:r>
          </w:p>
        </w:tc>
        <w:tc>
          <w:tcPr>
            <w:tcW w:w="8513" w:type="dxa"/>
            <w:gridSpan w:val="3"/>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罚款</w:t>
            </w:r>
          </w:p>
          <w:p>
            <w:pPr>
              <w:spacing w:line="360" w:lineRule="exact"/>
              <w:rPr>
                <w:rFonts w:ascii="Times New Roman" w:hAnsi="仿宋" w:eastAsia="仿宋" w:cs="Times New Roman"/>
                <w:sz w:val="24"/>
                <w:szCs w:val="24"/>
              </w:rPr>
            </w:pPr>
            <w:r>
              <w:rPr>
                <w:rFonts w:hint="eastAsia" w:ascii="Times New Roman" w:hAnsi="Times New Roman" w:eastAsia="仿宋" w:cs="Times New Roman"/>
                <w:sz w:val="24"/>
                <w:szCs w:val="24"/>
              </w:rPr>
              <w:t>禁止开展相关专业医疗器械临床试验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实施主体</w:t>
            </w:r>
          </w:p>
        </w:tc>
        <w:tc>
          <w:tcPr>
            <w:tcW w:w="8513" w:type="dxa"/>
            <w:gridSpan w:val="3"/>
            <w:vAlign w:val="center"/>
          </w:tcPr>
          <w:p>
            <w:pPr>
              <w:rPr>
                <w:rFonts w:ascii="Times New Roman" w:hAnsi="Times New Roman" w:eastAsia="仿宋" w:cs="Times New Roman"/>
                <w:sz w:val="24"/>
                <w:szCs w:val="24"/>
              </w:rPr>
            </w:pPr>
            <w:r>
              <w:rPr>
                <w:rFonts w:hint="eastAsia" w:ascii="Times New Roman" w:hAnsi="仿宋" w:eastAsia="仿宋" w:cs="Times New Roman"/>
                <w:sz w:val="24"/>
                <w:szCs w:val="24"/>
              </w:rPr>
              <w:t>负责药品监督管理的部门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裁量范围</w:t>
            </w:r>
          </w:p>
        </w:tc>
        <w:tc>
          <w:tcPr>
            <w:tcW w:w="8513" w:type="dxa"/>
            <w:gridSpan w:val="3"/>
            <w:vAlign w:val="center"/>
          </w:tcPr>
          <w:p>
            <w:pPr>
              <w:rPr>
                <w:rFonts w:ascii="Times New Roman" w:hAnsi="Times New Roman" w:eastAsia="仿宋" w:cs="Times New Roman"/>
                <w:sz w:val="24"/>
                <w:szCs w:val="24"/>
              </w:rPr>
            </w:pPr>
            <w:r>
              <w:rPr>
                <w:rFonts w:hint="eastAsia" w:ascii="Times New Roman" w:hAnsi="仿宋" w:eastAsia="仿宋" w:cs="Times New Roman"/>
                <w:sz w:val="24"/>
                <w:szCs w:val="24"/>
              </w:rPr>
              <w:t>处5万元以上10万元以下罚款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303"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违法主体</w:t>
            </w:r>
          </w:p>
        </w:tc>
        <w:tc>
          <w:tcPr>
            <w:tcW w:w="1339"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适用情形</w:t>
            </w:r>
          </w:p>
        </w:tc>
        <w:tc>
          <w:tcPr>
            <w:tcW w:w="3703"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裁量因素</w:t>
            </w:r>
          </w:p>
        </w:tc>
        <w:tc>
          <w:tcPr>
            <w:tcW w:w="3471"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303" w:type="dxa"/>
            <w:vMerge w:val="restart"/>
            <w:vAlign w:val="center"/>
          </w:tcPr>
          <w:p>
            <w:pPr>
              <w:jc w:val="left"/>
              <w:rPr>
                <w:rFonts w:ascii="Times New Roman" w:hAnsi="Times New Roman" w:eastAsia="仿宋" w:cs="Times New Roman"/>
                <w:sz w:val="24"/>
                <w:szCs w:val="24"/>
              </w:rPr>
            </w:pPr>
            <w:r>
              <w:rPr>
                <w:rFonts w:hint="eastAsia" w:ascii="Times New Roman" w:hAnsi="Times New Roman" w:eastAsia="仿宋" w:cs="Times New Roman"/>
                <w:sz w:val="24"/>
                <w:szCs w:val="24"/>
              </w:rPr>
              <w:t>医疗器械临床试验机构</w:t>
            </w: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基本罚</w:t>
            </w:r>
          </w:p>
        </w:tc>
        <w:tc>
          <w:tcPr>
            <w:tcW w:w="3703" w:type="dxa"/>
            <w:vAlign w:val="center"/>
          </w:tcPr>
          <w:p>
            <w:pPr>
              <w:rPr>
                <w:rFonts w:ascii="Times New Roman" w:hAnsi="Times New Roman" w:eastAsia="仿宋" w:cs="Times New Roman"/>
                <w:sz w:val="24"/>
                <w:szCs w:val="24"/>
              </w:rPr>
            </w:pPr>
            <w:r>
              <w:rPr>
                <w:rFonts w:ascii="Times New Roman" w:hAnsi="仿宋" w:eastAsia="仿宋" w:cs="Times New Roman"/>
                <w:sz w:val="24"/>
                <w:szCs w:val="24"/>
              </w:rPr>
              <w:t>不符合从轻、减轻或从重情形的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6.5万元以上8.5万元以下罚款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从轻</w:t>
            </w:r>
          </w:p>
        </w:tc>
        <w:tc>
          <w:tcPr>
            <w:tcW w:w="3703" w:type="dxa"/>
            <w:vAlign w:val="center"/>
          </w:tcPr>
          <w:p>
            <w:pPr>
              <w:rPr>
                <w:rFonts w:ascii="Times New Roman" w:hAnsi="Times New Roman" w:eastAsia="仿宋" w:cs="Times New Roman"/>
                <w:sz w:val="24"/>
                <w:szCs w:val="24"/>
              </w:rPr>
            </w:pP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》从轻行政处罚情形的。</w:t>
            </w:r>
          </w:p>
        </w:tc>
        <w:tc>
          <w:tcPr>
            <w:tcW w:w="3471" w:type="dxa"/>
            <w:vAlign w:val="center"/>
          </w:tcPr>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5万元以上6.5万元以下罚款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减轻</w:t>
            </w:r>
          </w:p>
        </w:tc>
        <w:tc>
          <w:tcPr>
            <w:tcW w:w="3703" w:type="dxa"/>
            <w:vAlign w:val="center"/>
          </w:tcPr>
          <w:p>
            <w:pPr>
              <w:rPr>
                <w:rFonts w:ascii="Times New Roman" w:hAnsi="仿宋" w:eastAsia="仿宋" w:cs="Times New Roman"/>
                <w:sz w:val="24"/>
                <w:szCs w:val="24"/>
              </w:rPr>
            </w:pPr>
            <w:r>
              <w:rPr>
                <w:rFonts w:hint="eastAsia" w:ascii="Times New Roman" w:hAnsi="仿宋" w:eastAsia="仿宋" w:cs="Times New Roman"/>
                <w:sz w:val="24"/>
                <w:szCs w:val="24"/>
              </w:rPr>
              <w:t>1.</w:t>
            </w: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》减轻行政处罚情形的</w:t>
            </w:r>
            <w:r>
              <w:rPr>
                <w:rFonts w:hint="eastAsia" w:ascii="Times New Roman" w:hAnsi="仿宋" w:eastAsia="仿宋" w:cs="Times New Roman"/>
                <w:sz w:val="24"/>
                <w:szCs w:val="24"/>
              </w:rPr>
              <w:t>；</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2.情节严重不适用。</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5千元以上5万元以下罚款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从重</w:t>
            </w:r>
          </w:p>
        </w:tc>
        <w:tc>
          <w:tcPr>
            <w:tcW w:w="3703" w:type="dxa"/>
            <w:vAlign w:val="center"/>
          </w:tcPr>
          <w:p>
            <w:pPr>
              <w:rPr>
                <w:rFonts w:ascii="Times New Roman" w:hAnsi="Times New Roman" w:eastAsia="仿宋" w:cs="Times New Roman"/>
                <w:sz w:val="24"/>
                <w:szCs w:val="24"/>
              </w:rPr>
            </w:pP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》从重行政处罚情形的。</w:t>
            </w:r>
          </w:p>
        </w:tc>
        <w:tc>
          <w:tcPr>
            <w:tcW w:w="3471" w:type="dxa"/>
            <w:vAlign w:val="center"/>
          </w:tcPr>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8.5万元以上10万元以下罚款</w:t>
            </w:r>
          </w:p>
        </w:tc>
      </w:tr>
    </w:tbl>
    <w:p>
      <w:pPr>
        <w:rPr>
          <w:rFonts w:ascii="Times New Roman" w:hAnsi="Times New Roman" w:eastAsia="仿宋" w:cs="Times New Roman"/>
          <w:sz w:val="32"/>
          <w:szCs w:val="32"/>
        </w:rPr>
      </w:pPr>
    </w:p>
    <w:sectPr>
      <w:footerReference r:id="rId3" w:type="default"/>
      <w:footerReference r:id="rId4" w:type="even"/>
      <w:pgSz w:w="11906" w:h="16838"/>
      <w:pgMar w:top="1814" w:right="1531" w:bottom="1701" w:left="1531" w:header="851" w:footer="107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4165"/>
      <w:docPartObj>
        <w:docPartGallery w:val="autotext"/>
      </w:docPartObj>
    </w:sdtPr>
    <w:sdtContent>
      <w:p>
        <w:pPr>
          <w:pStyle w:val="2"/>
          <w:numPr>
            <w:ilvl w:val="0"/>
            <w:numId w:val="1"/>
          </w:numPr>
          <w:jc w:val="right"/>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w:t>
        </w:r>
        <w:r>
          <w:rPr>
            <w:rFonts w:ascii="Times New Roman" w:hAnsi="Times New Roman" w:cs="Times New Roman"/>
            <w:sz w:val="24"/>
            <w:szCs w:val="24"/>
          </w:rPr>
          <w:fldChar w:fldCharType="end"/>
        </w:r>
        <w:r>
          <w:rPr>
            <w:rFonts w:hint="eastAsia" w:ascii="Times New Roman" w:hAnsi="Times New Roman" w:cs="Times New Roman"/>
            <w:sz w:val="24"/>
            <w:szCs w:val="24"/>
          </w:rPr>
          <w:t xml:space="preserve"> —</w:t>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4193"/>
      <w:docPartObj>
        <w:docPartGallery w:val="autotext"/>
      </w:docPartObj>
    </w:sdtPr>
    <w:sdtContent>
      <w:p>
        <w:pPr>
          <w:pStyle w:val="2"/>
          <w:numPr>
            <w:ilvl w:val="0"/>
            <w:numId w:val="2"/>
          </w:num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r>
          <w:rPr>
            <w:rFonts w:hint="eastAsia" w:ascii="Times New Roman" w:hAnsi="Times New Roman" w:cs="Times New Roman"/>
            <w:sz w:val="28"/>
            <w:szCs w:val="28"/>
          </w:rPr>
          <w:t xml:space="preserve"> </w:t>
        </w:r>
        <w:r>
          <w:rPr>
            <w:rFonts w:hint="eastAsia" w:ascii="Times New Roman" w:hAnsi="Times New Roman" w:cs="Times New Roman"/>
            <w:sz w:val="24"/>
            <w:szCs w:val="24"/>
          </w:rPr>
          <w:t>—</w:t>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235CD"/>
    <w:multiLevelType w:val="multilevel"/>
    <w:tmpl w:val="132235CD"/>
    <w:lvl w:ilvl="0" w:tentative="0">
      <w:start w:val="8"/>
      <w:numFmt w:val="bullet"/>
      <w:lvlText w:val="—"/>
      <w:lvlJc w:val="left"/>
      <w:pPr>
        <w:ind w:left="360" w:hanging="360"/>
      </w:pPr>
      <w:rPr>
        <w:rFonts w:hint="eastAsia" w:ascii="宋体" w:hAnsi="宋体" w:eastAsia="宋体" w:cs="Times New Roman"/>
        <w:sz w:val="24"/>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7E8B734D"/>
    <w:multiLevelType w:val="multilevel"/>
    <w:tmpl w:val="7E8B734D"/>
    <w:lvl w:ilvl="0" w:tentative="0">
      <w:start w:val="7"/>
      <w:numFmt w:val="bullet"/>
      <w:lvlText w:val="—"/>
      <w:lvlJc w:val="left"/>
      <w:pPr>
        <w:ind w:left="360" w:hanging="360"/>
      </w:pPr>
      <w:rPr>
        <w:rFonts w:hint="eastAsia" w:ascii="宋体" w:hAnsi="宋体" w:eastAsia="宋体" w:cs="Times New Roman"/>
        <w:sz w:val="24"/>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2391"/>
    <w:rsid w:val="0000373D"/>
    <w:rsid w:val="00004631"/>
    <w:rsid w:val="0000465D"/>
    <w:rsid w:val="000047D7"/>
    <w:rsid w:val="0000517E"/>
    <w:rsid w:val="00012397"/>
    <w:rsid w:val="00031453"/>
    <w:rsid w:val="0003291E"/>
    <w:rsid w:val="000336E6"/>
    <w:rsid w:val="000376F0"/>
    <w:rsid w:val="00037CB9"/>
    <w:rsid w:val="0004015B"/>
    <w:rsid w:val="000627D4"/>
    <w:rsid w:val="000655FB"/>
    <w:rsid w:val="0008501F"/>
    <w:rsid w:val="0009174A"/>
    <w:rsid w:val="00091BD3"/>
    <w:rsid w:val="0009450F"/>
    <w:rsid w:val="000A07A6"/>
    <w:rsid w:val="000A2CCF"/>
    <w:rsid w:val="000B1A66"/>
    <w:rsid w:val="000C1B4D"/>
    <w:rsid w:val="000C240C"/>
    <w:rsid w:val="000D4CA3"/>
    <w:rsid w:val="000E0DE3"/>
    <w:rsid w:val="000F3878"/>
    <w:rsid w:val="00100ECA"/>
    <w:rsid w:val="00106508"/>
    <w:rsid w:val="00110784"/>
    <w:rsid w:val="001210F2"/>
    <w:rsid w:val="00125034"/>
    <w:rsid w:val="00135597"/>
    <w:rsid w:val="00141E72"/>
    <w:rsid w:val="00142AC2"/>
    <w:rsid w:val="00144B13"/>
    <w:rsid w:val="001552CB"/>
    <w:rsid w:val="0016710C"/>
    <w:rsid w:val="00177093"/>
    <w:rsid w:val="001942C5"/>
    <w:rsid w:val="0019560B"/>
    <w:rsid w:val="001A0815"/>
    <w:rsid w:val="001A42B6"/>
    <w:rsid w:val="001B3BE0"/>
    <w:rsid w:val="001B6365"/>
    <w:rsid w:val="001E377A"/>
    <w:rsid w:val="001E7729"/>
    <w:rsid w:val="001F09A7"/>
    <w:rsid w:val="001F31E3"/>
    <w:rsid w:val="001F6F8C"/>
    <w:rsid w:val="0020062C"/>
    <w:rsid w:val="00200CF5"/>
    <w:rsid w:val="00201495"/>
    <w:rsid w:val="00211693"/>
    <w:rsid w:val="0021341B"/>
    <w:rsid w:val="00225789"/>
    <w:rsid w:val="00232820"/>
    <w:rsid w:val="0023627E"/>
    <w:rsid w:val="00237081"/>
    <w:rsid w:val="002415C6"/>
    <w:rsid w:val="0024210C"/>
    <w:rsid w:val="00246D9D"/>
    <w:rsid w:val="00293A80"/>
    <w:rsid w:val="002949F9"/>
    <w:rsid w:val="002A03AD"/>
    <w:rsid w:val="002A08C1"/>
    <w:rsid w:val="002B1499"/>
    <w:rsid w:val="002B15D9"/>
    <w:rsid w:val="002B5871"/>
    <w:rsid w:val="002D6632"/>
    <w:rsid w:val="002E7267"/>
    <w:rsid w:val="003046CC"/>
    <w:rsid w:val="00307B94"/>
    <w:rsid w:val="0031149A"/>
    <w:rsid w:val="0031594F"/>
    <w:rsid w:val="003174F3"/>
    <w:rsid w:val="003243F2"/>
    <w:rsid w:val="003303E4"/>
    <w:rsid w:val="00331613"/>
    <w:rsid w:val="0033492B"/>
    <w:rsid w:val="003441A9"/>
    <w:rsid w:val="00345F46"/>
    <w:rsid w:val="0036070C"/>
    <w:rsid w:val="003807F5"/>
    <w:rsid w:val="003836C2"/>
    <w:rsid w:val="003852FC"/>
    <w:rsid w:val="003A132E"/>
    <w:rsid w:val="003A66D1"/>
    <w:rsid w:val="003C6D68"/>
    <w:rsid w:val="003C7803"/>
    <w:rsid w:val="003D3123"/>
    <w:rsid w:val="003F2CD3"/>
    <w:rsid w:val="003F44B4"/>
    <w:rsid w:val="004118C3"/>
    <w:rsid w:val="004177F9"/>
    <w:rsid w:val="00420C4C"/>
    <w:rsid w:val="00421FB0"/>
    <w:rsid w:val="00427005"/>
    <w:rsid w:val="0045040E"/>
    <w:rsid w:val="00450BE3"/>
    <w:rsid w:val="00452A7D"/>
    <w:rsid w:val="004667E0"/>
    <w:rsid w:val="004857D6"/>
    <w:rsid w:val="0049105A"/>
    <w:rsid w:val="004951F0"/>
    <w:rsid w:val="004A1790"/>
    <w:rsid w:val="004A74A8"/>
    <w:rsid w:val="004A79AD"/>
    <w:rsid w:val="004B6446"/>
    <w:rsid w:val="004C0EA9"/>
    <w:rsid w:val="004C0EB5"/>
    <w:rsid w:val="004C1A5B"/>
    <w:rsid w:val="004D775B"/>
    <w:rsid w:val="004E5042"/>
    <w:rsid w:val="004F1D30"/>
    <w:rsid w:val="004F2EDB"/>
    <w:rsid w:val="004F51CF"/>
    <w:rsid w:val="004F578A"/>
    <w:rsid w:val="00503360"/>
    <w:rsid w:val="00504821"/>
    <w:rsid w:val="00507267"/>
    <w:rsid w:val="005130CF"/>
    <w:rsid w:val="005316C3"/>
    <w:rsid w:val="00545322"/>
    <w:rsid w:val="005615C7"/>
    <w:rsid w:val="00561DE7"/>
    <w:rsid w:val="00573BCD"/>
    <w:rsid w:val="00576439"/>
    <w:rsid w:val="00576DD1"/>
    <w:rsid w:val="00585765"/>
    <w:rsid w:val="00587749"/>
    <w:rsid w:val="005A4E77"/>
    <w:rsid w:val="005B1F9C"/>
    <w:rsid w:val="005B4886"/>
    <w:rsid w:val="005B643D"/>
    <w:rsid w:val="005C131B"/>
    <w:rsid w:val="005C7631"/>
    <w:rsid w:val="005D24EB"/>
    <w:rsid w:val="005D2F53"/>
    <w:rsid w:val="005D6116"/>
    <w:rsid w:val="005E22AA"/>
    <w:rsid w:val="005E27E3"/>
    <w:rsid w:val="005E3745"/>
    <w:rsid w:val="005F5D75"/>
    <w:rsid w:val="00601A35"/>
    <w:rsid w:val="00617AB6"/>
    <w:rsid w:val="00620615"/>
    <w:rsid w:val="00626154"/>
    <w:rsid w:val="006306E8"/>
    <w:rsid w:val="0064583F"/>
    <w:rsid w:val="00646150"/>
    <w:rsid w:val="006567BC"/>
    <w:rsid w:val="006569FE"/>
    <w:rsid w:val="00662588"/>
    <w:rsid w:val="00676407"/>
    <w:rsid w:val="00680341"/>
    <w:rsid w:val="00686D94"/>
    <w:rsid w:val="0068729C"/>
    <w:rsid w:val="00692B52"/>
    <w:rsid w:val="006940BD"/>
    <w:rsid w:val="00697158"/>
    <w:rsid w:val="006B5BE7"/>
    <w:rsid w:val="006C1345"/>
    <w:rsid w:val="006D1AC1"/>
    <w:rsid w:val="006D4E9A"/>
    <w:rsid w:val="006F469C"/>
    <w:rsid w:val="00710149"/>
    <w:rsid w:val="007363FA"/>
    <w:rsid w:val="0073693A"/>
    <w:rsid w:val="0073732E"/>
    <w:rsid w:val="0076086F"/>
    <w:rsid w:val="00763683"/>
    <w:rsid w:val="007763A1"/>
    <w:rsid w:val="00776FAE"/>
    <w:rsid w:val="00785D7F"/>
    <w:rsid w:val="007862DE"/>
    <w:rsid w:val="007949F1"/>
    <w:rsid w:val="007B003C"/>
    <w:rsid w:val="007B378F"/>
    <w:rsid w:val="007B3D48"/>
    <w:rsid w:val="007B4C38"/>
    <w:rsid w:val="007B5338"/>
    <w:rsid w:val="007B5CE2"/>
    <w:rsid w:val="007D70DB"/>
    <w:rsid w:val="007E4BA0"/>
    <w:rsid w:val="007E5234"/>
    <w:rsid w:val="00807DBF"/>
    <w:rsid w:val="0081372B"/>
    <w:rsid w:val="008147B2"/>
    <w:rsid w:val="00814E9E"/>
    <w:rsid w:val="00824787"/>
    <w:rsid w:val="00824AC2"/>
    <w:rsid w:val="008524E4"/>
    <w:rsid w:val="00860229"/>
    <w:rsid w:val="00870B0B"/>
    <w:rsid w:val="0087231A"/>
    <w:rsid w:val="0087333F"/>
    <w:rsid w:val="00873CB8"/>
    <w:rsid w:val="00874A98"/>
    <w:rsid w:val="00876F22"/>
    <w:rsid w:val="0088277E"/>
    <w:rsid w:val="0088799E"/>
    <w:rsid w:val="008960E7"/>
    <w:rsid w:val="008B3552"/>
    <w:rsid w:val="008C1016"/>
    <w:rsid w:val="008C7CE4"/>
    <w:rsid w:val="008D7092"/>
    <w:rsid w:val="00903B28"/>
    <w:rsid w:val="00913ACB"/>
    <w:rsid w:val="00914724"/>
    <w:rsid w:val="00935358"/>
    <w:rsid w:val="0094152D"/>
    <w:rsid w:val="00955D4A"/>
    <w:rsid w:val="00957919"/>
    <w:rsid w:val="009647B8"/>
    <w:rsid w:val="009654B3"/>
    <w:rsid w:val="00973F0A"/>
    <w:rsid w:val="00980FC2"/>
    <w:rsid w:val="009A37A2"/>
    <w:rsid w:val="009A3D5E"/>
    <w:rsid w:val="009B1D5A"/>
    <w:rsid w:val="009D31D6"/>
    <w:rsid w:val="009D4195"/>
    <w:rsid w:val="009E71D2"/>
    <w:rsid w:val="009F7884"/>
    <w:rsid w:val="00A03330"/>
    <w:rsid w:val="00A050B1"/>
    <w:rsid w:val="00A05AD6"/>
    <w:rsid w:val="00A13A5A"/>
    <w:rsid w:val="00A14413"/>
    <w:rsid w:val="00A236EC"/>
    <w:rsid w:val="00A351DD"/>
    <w:rsid w:val="00A4056E"/>
    <w:rsid w:val="00A44E04"/>
    <w:rsid w:val="00A6288F"/>
    <w:rsid w:val="00A65DAC"/>
    <w:rsid w:val="00A71DB6"/>
    <w:rsid w:val="00A86AFF"/>
    <w:rsid w:val="00A9570E"/>
    <w:rsid w:val="00AA502F"/>
    <w:rsid w:val="00AC57D1"/>
    <w:rsid w:val="00AD6839"/>
    <w:rsid w:val="00AE6D87"/>
    <w:rsid w:val="00B010B2"/>
    <w:rsid w:val="00B10AB7"/>
    <w:rsid w:val="00B12922"/>
    <w:rsid w:val="00B1397F"/>
    <w:rsid w:val="00B241C2"/>
    <w:rsid w:val="00B30229"/>
    <w:rsid w:val="00B35DCE"/>
    <w:rsid w:val="00B50B12"/>
    <w:rsid w:val="00B51969"/>
    <w:rsid w:val="00B56515"/>
    <w:rsid w:val="00B57D56"/>
    <w:rsid w:val="00B60380"/>
    <w:rsid w:val="00B60B73"/>
    <w:rsid w:val="00B67C0D"/>
    <w:rsid w:val="00B71EDF"/>
    <w:rsid w:val="00B741B0"/>
    <w:rsid w:val="00B80F61"/>
    <w:rsid w:val="00B81919"/>
    <w:rsid w:val="00B85D6F"/>
    <w:rsid w:val="00B878ED"/>
    <w:rsid w:val="00BA05FA"/>
    <w:rsid w:val="00BA21D1"/>
    <w:rsid w:val="00BA5984"/>
    <w:rsid w:val="00BC3CA2"/>
    <w:rsid w:val="00BC4FEF"/>
    <w:rsid w:val="00BD6416"/>
    <w:rsid w:val="00BE022D"/>
    <w:rsid w:val="00BE2462"/>
    <w:rsid w:val="00BE7CD2"/>
    <w:rsid w:val="00BF03F3"/>
    <w:rsid w:val="00BF60F1"/>
    <w:rsid w:val="00C065AA"/>
    <w:rsid w:val="00C07D51"/>
    <w:rsid w:val="00C1172D"/>
    <w:rsid w:val="00C20FB1"/>
    <w:rsid w:val="00C3422A"/>
    <w:rsid w:val="00C358A6"/>
    <w:rsid w:val="00C37861"/>
    <w:rsid w:val="00C41D36"/>
    <w:rsid w:val="00C432D2"/>
    <w:rsid w:val="00C449D4"/>
    <w:rsid w:val="00C57050"/>
    <w:rsid w:val="00C57F0D"/>
    <w:rsid w:val="00C60304"/>
    <w:rsid w:val="00C609EB"/>
    <w:rsid w:val="00C60F0F"/>
    <w:rsid w:val="00C615AF"/>
    <w:rsid w:val="00C7112C"/>
    <w:rsid w:val="00C76FFC"/>
    <w:rsid w:val="00C82494"/>
    <w:rsid w:val="00C97CA4"/>
    <w:rsid w:val="00CA3305"/>
    <w:rsid w:val="00CB3DC5"/>
    <w:rsid w:val="00CC2477"/>
    <w:rsid w:val="00CC7EB0"/>
    <w:rsid w:val="00CD041F"/>
    <w:rsid w:val="00CD2391"/>
    <w:rsid w:val="00D02115"/>
    <w:rsid w:val="00D02D8B"/>
    <w:rsid w:val="00D043C3"/>
    <w:rsid w:val="00D10F76"/>
    <w:rsid w:val="00D1650A"/>
    <w:rsid w:val="00D176D6"/>
    <w:rsid w:val="00D2216C"/>
    <w:rsid w:val="00D24DC7"/>
    <w:rsid w:val="00D268EA"/>
    <w:rsid w:val="00D328CA"/>
    <w:rsid w:val="00D33221"/>
    <w:rsid w:val="00D33C7B"/>
    <w:rsid w:val="00D40DA3"/>
    <w:rsid w:val="00D42857"/>
    <w:rsid w:val="00D45067"/>
    <w:rsid w:val="00D4537A"/>
    <w:rsid w:val="00D54F8B"/>
    <w:rsid w:val="00D55BE1"/>
    <w:rsid w:val="00D562B6"/>
    <w:rsid w:val="00D578F2"/>
    <w:rsid w:val="00D661D0"/>
    <w:rsid w:val="00D76182"/>
    <w:rsid w:val="00D76A8D"/>
    <w:rsid w:val="00D906CC"/>
    <w:rsid w:val="00D90B6C"/>
    <w:rsid w:val="00D95FBD"/>
    <w:rsid w:val="00DD3ED2"/>
    <w:rsid w:val="00DD750B"/>
    <w:rsid w:val="00DD7EC7"/>
    <w:rsid w:val="00DE0C17"/>
    <w:rsid w:val="00DE5BAC"/>
    <w:rsid w:val="00DE70B1"/>
    <w:rsid w:val="00DF0BB7"/>
    <w:rsid w:val="00DF5068"/>
    <w:rsid w:val="00E01CC1"/>
    <w:rsid w:val="00E03429"/>
    <w:rsid w:val="00E13C6D"/>
    <w:rsid w:val="00E24F42"/>
    <w:rsid w:val="00E33E00"/>
    <w:rsid w:val="00E34CE3"/>
    <w:rsid w:val="00E53018"/>
    <w:rsid w:val="00E5410C"/>
    <w:rsid w:val="00E72ADB"/>
    <w:rsid w:val="00E85F9D"/>
    <w:rsid w:val="00EA0181"/>
    <w:rsid w:val="00EA31DB"/>
    <w:rsid w:val="00EA45FC"/>
    <w:rsid w:val="00EB7352"/>
    <w:rsid w:val="00ED6E12"/>
    <w:rsid w:val="00ED72A5"/>
    <w:rsid w:val="00EE2C77"/>
    <w:rsid w:val="00F20924"/>
    <w:rsid w:val="00F21A34"/>
    <w:rsid w:val="00F22B97"/>
    <w:rsid w:val="00F270E1"/>
    <w:rsid w:val="00F50A00"/>
    <w:rsid w:val="00F7007E"/>
    <w:rsid w:val="00F751DA"/>
    <w:rsid w:val="00F76FBD"/>
    <w:rsid w:val="00F808D0"/>
    <w:rsid w:val="00F82463"/>
    <w:rsid w:val="00F919ED"/>
    <w:rsid w:val="00F91BE3"/>
    <w:rsid w:val="00FB1A4C"/>
    <w:rsid w:val="00FB418C"/>
    <w:rsid w:val="00FB65BC"/>
    <w:rsid w:val="00FD36D8"/>
    <w:rsid w:val="00FD386B"/>
    <w:rsid w:val="00FE0A35"/>
    <w:rsid w:val="00FF0DAE"/>
    <w:rsid w:val="00FF45B5"/>
    <w:rsid w:val="00FF4D65"/>
    <w:rsid w:val="00FF6825"/>
    <w:rsid w:val="00FF75CF"/>
    <w:rsid w:val="177036F1"/>
    <w:rsid w:val="2E1D2ED6"/>
    <w:rsid w:val="2FCC62D3"/>
    <w:rsid w:val="32117CF4"/>
    <w:rsid w:val="35077E39"/>
    <w:rsid w:val="380E1B2F"/>
    <w:rsid w:val="62D271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rPr>
      <w:rFonts w:ascii="Times New Roman" w:hAnsi="Times New Roman" w:cs="Times New Roman"/>
      <w:sz w:val="24"/>
      <w:szCs w:val="24"/>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basedOn w:val="7"/>
    <w:qFormat/>
    <w:uiPriority w:val="0"/>
    <w:rPr>
      <w:b/>
    </w:rPr>
  </w:style>
  <w:style w:type="paragraph" w:styleId="9">
    <w:name w:val="List Paragraph"/>
    <w:basedOn w:val="1"/>
    <w:qFormat/>
    <w:uiPriority w:val="34"/>
    <w:pPr>
      <w:ind w:firstLine="420" w:firstLineChars="200"/>
    </w:pPr>
  </w:style>
  <w:style w:type="character" w:customStyle="1" w:styleId="10">
    <w:name w:val="页眉 Char"/>
    <w:basedOn w:val="7"/>
    <w:link w:val="3"/>
    <w:semiHidden/>
    <w:qFormat/>
    <w:uiPriority w:val="99"/>
    <w:rPr>
      <w:sz w:val="18"/>
      <w:szCs w:val="18"/>
    </w:rPr>
  </w:style>
  <w:style w:type="character" w:customStyle="1" w:styleId="11">
    <w:name w:val="页脚 Char"/>
    <w:basedOn w:val="7"/>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6D3BFC-3C1E-4461-B3BD-0CABD912971E}">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Pages>
  <Words>124</Words>
  <Characters>712</Characters>
  <Lines>5</Lines>
  <Paragraphs>1</Paragraphs>
  <TotalTime>1</TotalTime>
  <ScaleCrop>false</ScaleCrop>
  <LinksUpToDate>false</LinksUpToDate>
  <CharactersWithSpaces>835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2020-09-15T08:52:00Z</dcterms:created>
  <dc:creator>haoqiang</dc:creator>
  <cp:lastModifiedBy>haoqiang</cp:lastModifiedBy>
  <cp:lastPrinted>2021-01-06T02:58:00Z</cp:lastPrinted>
  <dcterms:modified xsi:type="dcterms:W3CDTF">2021-09-30T09:48:23Z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