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Times New Roman"/>
          <w:bCs/>
          <w:sz w:val="32"/>
          <w:szCs w:val="32"/>
        </w:rPr>
      </w:pPr>
      <w:r>
        <w:rPr>
          <w:rFonts w:hint="eastAsia" w:ascii="黑体" w:hAnsi="黑体" w:eastAsia="黑体" w:cs="Times New Roman"/>
          <w:bCs/>
          <w:sz w:val="32"/>
          <w:szCs w:val="32"/>
        </w:rPr>
        <w:t>附件1</w:t>
      </w:r>
    </w:p>
    <w:p>
      <w:pPr>
        <w:overflowPunct w:val="0"/>
        <w:spacing w:line="400" w:lineRule="exact"/>
        <w:rPr>
          <w:rFonts w:ascii="Times New Roman" w:hAnsi="Times New Roman" w:eastAsia="黑体" w:cs="Times New Roman"/>
          <w:sz w:val="32"/>
          <w:szCs w:val="32"/>
        </w:rPr>
      </w:pPr>
    </w:p>
    <w:p>
      <w:pPr>
        <w:overflowPunct w:val="0"/>
        <w:spacing w:line="560" w:lineRule="exact"/>
        <w:jc w:val="center"/>
        <w:rPr>
          <w:rFonts w:hint="eastAsia" w:ascii="Times New Roman" w:hAnsi="Times New Roman" w:eastAsia="宋体" w:cs="Times New Roman"/>
          <w:b/>
          <w:bCs/>
          <w:sz w:val="44"/>
          <w:szCs w:val="44"/>
        </w:rPr>
      </w:pPr>
      <w:r>
        <w:rPr>
          <w:rFonts w:hint="eastAsia" w:ascii="Times New Roman" w:hAnsi="Times New Roman" w:eastAsia="宋体" w:cs="Times New Roman"/>
          <w:b/>
          <w:bCs/>
          <w:sz w:val="44"/>
          <w:szCs w:val="44"/>
        </w:rPr>
        <w:t>本次检验项目</w:t>
      </w:r>
    </w:p>
    <w:p>
      <w:pPr>
        <w:overflowPunct w:val="0"/>
        <w:spacing w:line="560" w:lineRule="exact"/>
        <w:jc w:val="center"/>
        <w:rPr>
          <w:rFonts w:hint="eastAsia" w:ascii="Times New Roman" w:hAnsi="Times New Roman" w:eastAsia="宋体" w:cs="Times New Roman"/>
          <w:b/>
          <w:bCs/>
          <w:sz w:val="44"/>
          <w:szCs w:val="44"/>
        </w:rPr>
      </w:pPr>
    </w:p>
    <w:p>
      <w:pPr>
        <w:ind w:firstLine="640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一、粮食加工品</w:t>
      </w:r>
    </w:p>
    <w:p>
      <w:pPr>
        <w:ind w:firstLine="64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抽检依据是《食品安全国家标准 食品中污染物限量》（GB 2762）、《卫生部等7部门关于撤销食品添加剂过氧化苯甲酰、过氧化钙的公告》（卫生部公告〔2011〕4号）、</w:t>
      </w:r>
      <w:r>
        <w:rPr>
          <w:rFonts w:hint="eastAsia" w:ascii="仿宋" w:hAnsi="仿宋" w:eastAsia="仿宋" w:cs="仿宋"/>
          <w:bCs/>
          <w:sz w:val="32"/>
          <w:szCs w:val="32"/>
        </w:rPr>
        <w:t>《食品安全国家标准 食品中真菌毒素限量》（GB 2761）</w:t>
      </w:r>
      <w:r>
        <w:rPr>
          <w:rFonts w:hint="eastAsia" w:ascii="仿宋" w:hAnsi="仿宋" w:eastAsia="仿宋" w:cs="仿宋"/>
          <w:sz w:val="32"/>
          <w:szCs w:val="32"/>
        </w:rPr>
        <w:t>等标准。</w:t>
      </w:r>
    </w:p>
    <w:p>
      <w:pPr>
        <w:ind w:firstLine="640" w:firstLineChars="2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1.通用小麦粉、专用小麦粉抽检项目包括镉（以Cd计）、玉米赤霉烯酮、赭曲霉毒素A、过氧化苯甲酰、脱氧雪腐镰刀菌烯醇。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2.谷物加工品项目包括镉（以Cd计）、黄曲霉毒素B1、铅（以Pb计）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3.生湿面制品项目包括铅(以Pb计)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苯甲酸及其钠盐（以苯甲酸计）、山梨酸及其钾盐（以山梨酸计）、脱氢乙酸及其钠盐（以脱氢乙酸计）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黑体"/>
          <w:sz w:val="32"/>
          <w:szCs w:val="32"/>
        </w:rPr>
        <w:t>、调味品</w:t>
      </w:r>
    </w:p>
    <w:p>
      <w:pPr>
        <w:ind w:firstLine="64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抽检依据是《食品安全国家标准 食品添加剂使用标准》（GB 2760）、《食品安全国家标准 食品中污染物限量》（GB 2762）、《食品安全国家标准 酱油》（GB 2717）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《酿造酱油》（GB/T 18186）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、《食品安全国家标准 食醋》</w:t>
      </w:r>
      <w:r>
        <w:rPr>
          <w:rFonts w:hint="eastAsia" w:ascii="仿宋" w:hAnsi="仿宋" w:eastAsia="仿宋" w:cs="仿宋"/>
          <w:sz w:val="32"/>
          <w:szCs w:val="32"/>
        </w:rPr>
        <w:t xml:space="preserve">（GB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2719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《鸡精调味料》（SB/T 10371）、《食品安全国家标准 味精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》</w:t>
      </w:r>
      <w:r>
        <w:rPr>
          <w:rFonts w:hint="eastAsia" w:ascii="仿宋" w:hAnsi="仿宋" w:eastAsia="仿宋" w:cs="仿宋"/>
          <w:sz w:val="32"/>
          <w:szCs w:val="32"/>
        </w:rPr>
        <w:t>（GB 2720）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、《食品安全国家标准 食用盐</w:t>
      </w:r>
      <w:r>
        <w:rPr>
          <w:rFonts w:hint="eastAsia" w:ascii="仿宋" w:hAnsi="仿宋" w:eastAsia="仿宋" w:cs="仿宋"/>
          <w:sz w:val="32"/>
          <w:szCs w:val="32"/>
        </w:rPr>
        <w:t>精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》</w:t>
      </w: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GB 2721</w:t>
      </w:r>
      <w:r>
        <w:rPr>
          <w:rFonts w:hint="eastAsia" w:ascii="仿宋" w:hAnsi="仿宋" w:eastAsia="仿宋" w:cs="仿宋"/>
          <w:sz w:val="32"/>
          <w:szCs w:val="32"/>
        </w:rPr>
        <w:t>）等标准及产品明示标准和指标的要求。</w:t>
      </w:r>
    </w:p>
    <w:p>
      <w:pPr>
        <w:ind w:firstLine="640" w:firstLineChars="2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.食醋抽检项目包括总酸（以乙酸计）、苯甲酸及其钠盐（以苯甲酸计）、山梨酸及其钾盐（以山梨酸计）、脱氢乙酸及其钠盐（以脱氢乙酸计）、防腐剂混合使用时各自用量占其最大使用量的比例之和、糖精钠（以糖精计）、菌落总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.辣椒酱抽检项目包括苯甲酸及其钠盐（以苯甲酸计）、山梨酸及其钾盐（以山梨酸计）、脱氢乙酸及其钠盐（以脱氢乙酸计）、防腐剂混合使用时各自用量占其最大使用量的比例之和、甜蜜素（以环己基氨基磺酸计）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.普通食用盐检项目包括碘（以I计）、铅（以Pb计）、总砷（以As计）、氯化钠。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黑体"/>
          <w:sz w:val="32"/>
          <w:szCs w:val="32"/>
        </w:rPr>
        <w:t>、饮料</w:t>
      </w:r>
    </w:p>
    <w:p>
      <w:pPr>
        <w:ind w:firstLine="640" w:firstLineChars="2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抽检依据是</w:t>
      </w:r>
      <w:r>
        <w:rPr>
          <w:rFonts w:hint="eastAsia" w:ascii="仿宋" w:hAnsi="仿宋" w:eastAsia="仿宋" w:cs="仿宋"/>
          <w:bCs/>
          <w:sz w:val="32"/>
          <w:szCs w:val="32"/>
        </w:rPr>
        <w:t>《食品安全国家标准 食品添加剂使用标准》（GB 2760）、《食品安全国家标准 包装饮用水》（GB 19298）、</w:t>
      </w:r>
      <w:r>
        <w:rPr>
          <w:rFonts w:hint="eastAsia" w:ascii="仿宋" w:hAnsi="仿宋" w:eastAsia="仿宋" w:cs="仿宋"/>
          <w:sz w:val="32"/>
          <w:szCs w:val="32"/>
        </w:rPr>
        <w:t>《食品安全国家标准 食品中污染物限量》（GB 2762）、《食品安全国家标准 饮料》（GB 7101）等标准及产品明示标准和指标的要求。</w:t>
      </w:r>
    </w:p>
    <w:p>
      <w:pPr>
        <w:ind w:firstLine="640" w:firstLineChars="2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固体</w:t>
      </w:r>
      <w:r>
        <w:rPr>
          <w:rFonts w:hint="eastAsia" w:ascii="仿宋" w:hAnsi="仿宋" w:eastAsia="仿宋" w:cs="仿宋"/>
          <w:sz w:val="32"/>
          <w:szCs w:val="32"/>
        </w:rPr>
        <w:t>饮料抽检项目包括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蛋白质（限蛋白固体饮料）、苯甲酸及其钠盐（以苯甲酸计）、山梨酸及其钾盐（以山梨酸计）、防腐剂混合使用时各自用量占其最大使用量的比例之和、糖精钠（以糖精计）、菌落总数、大肠菌群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ind w:firstLine="64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黑体"/>
          <w:sz w:val="32"/>
          <w:szCs w:val="32"/>
        </w:rPr>
        <w:t>、酒类</w:t>
      </w:r>
    </w:p>
    <w:p>
      <w:pPr>
        <w:snapToGrid w:val="0"/>
        <w:spacing w:line="600" w:lineRule="exact"/>
        <w:ind w:firstLine="640" w:firstLineChars="200"/>
        <w:jc w:val="left"/>
        <w:rPr>
          <w:rFonts w:hint="eastAsia" w:ascii="楷体" w:hAnsi="楷体" w:eastAsia="楷体" w:cs="楷体"/>
          <w:bCs/>
          <w:sz w:val="32"/>
          <w:szCs w:val="32"/>
        </w:rPr>
      </w:pPr>
      <w:r>
        <w:rPr>
          <w:rFonts w:hint="eastAsia" w:ascii="楷体" w:hAnsi="楷体" w:eastAsia="楷体" w:cs="楷体"/>
          <w:bCs/>
          <w:sz w:val="32"/>
          <w:szCs w:val="32"/>
        </w:rPr>
        <w:t>（一）</w:t>
      </w:r>
      <w:r>
        <w:rPr>
          <w:rFonts w:hint="eastAsia" w:ascii="楷体" w:hAnsi="楷体" w:eastAsia="楷体" w:cs="楷体"/>
          <w:sz w:val="32"/>
          <w:szCs w:val="32"/>
        </w:rPr>
        <w:t>抽检依据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抽检依据是《食品安全国家标准 蒸馏酒及其配制酒》（GB 2757）、《食品安全国家标准 发酵酒及其配制酒》（GB 2758）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《食品安全国家标准 食品中污染物限量》（GB 2762）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《食品安全国家标准 食品添加剂使用标准》（GB 2760）等标准及产品明示标准和指标的要求。</w:t>
      </w:r>
    </w:p>
    <w:p>
      <w:pPr>
        <w:snapToGrid w:val="0"/>
        <w:spacing w:line="600" w:lineRule="exact"/>
        <w:ind w:firstLine="640" w:firstLineChars="200"/>
        <w:jc w:val="left"/>
        <w:rPr>
          <w:rFonts w:hint="eastAsia" w:ascii="楷体" w:hAnsi="楷体" w:eastAsia="楷体" w:cs="楷体"/>
          <w:bCs/>
          <w:sz w:val="32"/>
          <w:szCs w:val="32"/>
        </w:rPr>
      </w:pPr>
      <w:r>
        <w:rPr>
          <w:rFonts w:hint="eastAsia" w:ascii="楷体" w:hAnsi="楷体" w:eastAsia="楷体" w:cs="楷体"/>
          <w:bCs/>
          <w:sz w:val="32"/>
          <w:szCs w:val="32"/>
        </w:rPr>
        <w:t>（二）</w:t>
      </w:r>
      <w:r>
        <w:rPr>
          <w:rFonts w:hint="eastAsia" w:ascii="楷体" w:hAnsi="楷体" w:eastAsia="楷体" w:cs="楷体"/>
          <w:sz w:val="32"/>
          <w:szCs w:val="32"/>
        </w:rPr>
        <w:t>检验项目</w:t>
      </w:r>
    </w:p>
    <w:p>
      <w:pPr>
        <w:snapToGrid w:val="0"/>
        <w:spacing w:line="600" w:lineRule="exact"/>
        <w:ind w:firstLine="640" w:firstLineChars="200"/>
        <w:jc w:val="left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1.白酒抽检项目包括酒精度、山梨酸及其钾盐（以山梨酸计）、糖精钠（以糖精计）、甜蜜素（以环己基氨基磺酸计）。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五</w:t>
      </w:r>
      <w:r>
        <w:rPr>
          <w:rFonts w:hint="eastAsia" w:ascii="黑体" w:hAnsi="黑体" w:eastAsia="黑体" w:cs="黑体"/>
          <w:sz w:val="32"/>
          <w:szCs w:val="32"/>
        </w:rPr>
        <w:t>、蔬菜制品</w:t>
      </w:r>
    </w:p>
    <w:p>
      <w:pPr>
        <w:snapToGrid w:val="0"/>
        <w:spacing w:line="600" w:lineRule="exact"/>
        <w:ind w:firstLine="640" w:firstLineChars="200"/>
        <w:jc w:val="left"/>
        <w:rPr>
          <w:rFonts w:hint="eastAsia" w:ascii="楷体" w:hAnsi="楷体" w:eastAsia="楷体" w:cs="楷体"/>
          <w:bCs/>
          <w:sz w:val="32"/>
          <w:szCs w:val="32"/>
        </w:rPr>
      </w:pPr>
      <w:r>
        <w:rPr>
          <w:rFonts w:hint="eastAsia" w:ascii="楷体" w:hAnsi="楷体" w:eastAsia="楷体" w:cs="楷体"/>
          <w:bCs/>
          <w:sz w:val="32"/>
          <w:szCs w:val="32"/>
        </w:rPr>
        <w:t>（一）</w:t>
      </w:r>
      <w:r>
        <w:rPr>
          <w:rFonts w:hint="eastAsia" w:ascii="楷体" w:hAnsi="楷体" w:eastAsia="楷体" w:cs="楷体"/>
          <w:sz w:val="32"/>
          <w:szCs w:val="32"/>
        </w:rPr>
        <w:t>抽检依据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抽检依据是《食品安全国家标准 食品中污染物限量》（GB 2762）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《食品安全国家标准 食品添加剂使用标准》（GB 2760）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、《食品安全国家标准 酱腌菜》</w:t>
      </w: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GB 2714</w:t>
      </w:r>
      <w:r>
        <w:rPr>
          <w:rFonts w:hint="eastAsia" w:ascii="仿宋" w:hAnsi="仿宋" w:eastAsia="仿宋" w:cs="仿宋"/>
          <w:sz w:val="32"/>
          <w:szCs w:val="32"/>
        </w:rPr>
        <w:t>）标准要求。</w:t>
      </w:r>
    </w:p>
    <w:p>
      <w:pPr>
        <w:snapToGrid w:val="0"/>
        <w:spacing w:line="600" w:lineRule="exact"/>
        <w:ind w:firstLine="640" w:firstLineChars="200"/>
        <w:jc w:val="left"/>
        <w:rPr>
          <w:rFonts w:hint="eastAsia" w:ascii="楷体" w:hAnsi="楷体" w:eastAsia="楷体" w:cs="楷体"/>
          <w:bCs/>
          <w:sz w:val="32"/>
          <w:szCs w:val="32"/>
        </w:rPr>
      </w:pPr>
      <w:r>
        <w:rPr>
          <w:rFonts w:hint="eastAsia" w:ascii="楷体" w:hAnsi="楷体" w:eastAsia="楷体" w:cs="楷体"/>
          <w:bCs/>
          <w:sz w:val="32"/>
          <w:szCs w:val="32"/>
        </w:rPr>
        <w:t>（二）</w:t>
      </w:r>
      <w:r>
        <w:rPr>
          <w:rFonts w:hint="eastAsia" w:ascii="楷体" w:hAnsi="楷体" w:eastAsia="楷体" w:cs="楷体"/>
          <w:sz w:val="32"/>
          <w:szCs w:val="32"/>
        </w:rPr>
        <w:t>检验项目</w:t>
      </w:r>
    </w:p>
    <w:p>
      <w:pPr>
        <w:snapToGrid w:val="0"/>
        <w:spacing w:line="600" w:lineRule="exact"/>
        <w:ind w:firstLine="640" w:firstLineChars="200"/>
        <w:jc w:val="left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酱腌菜抽检项目包括铅（以Pb计）、苯甲酸及其钠盐（以苯甲酸计）、山梨酸及其钾盐（以山梨酸计）、脱氢乙酸及其钠盐（以脱氢乙酸计）、糖精钠（以糖精计）、甜蜜素（以环己基氨基磺酸计）、大肠菌群、防腐剂混合使用时各自用量占其最大使用量比例之和、阿斯巴甜、三氯蔗糖、纽甜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2.干制食用菌抽检项目包括铅（以Pb计）、总砷（以As计）、镉（以Cd计）、总汞（以Hg计）、二氧化硫残留量（香菇制品除外）。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六</w:t>
      </w:r>
      <w:r>
        <w:rPr>
          <w:rFonts w:hint="eastAsia" w:ascii="黑体" w:hAnsi="黑体" w:eastAsia="黑体" w:cs="黑体"/>
          <w:sz w:val="32"/>
          <w:szCs w:val="32"/>
        </w:rPr>
        <w:t>、炒货食品及坚果制品</w:t>
      </w:r>
    </w:p>
    <w:p>
      <w:pPr>
        <w:snapToGrid w:val="0"/>
        <w:spacing w:line="600" w:lineRule="exact"/>
        <w:ind w:firstLine="640" w:firstLineChars="200"/>
        <w:jc w:val="left"/>
        <w:rPr>
          <w:rFonts w:hint="eastAsia" w:ascii="楷体" w:hAnsi="楷体" w:eastAsia="楷体" w:cs="楷体"/>
          <w:bCs/>
          <w:sz w:val="32"/>
          <w:szCs w:val="32"/>
        </w:rPr>
      </w:pPr>
      <w:r>
        <w:rPr>
          <w:rFonts w:hint="eastAsia" w:ascii="楷体" w:hAnsi="楷体" w:eastAsia="楷体" w:cs="楷体"/>
          <w:bCs/>
          <w:sz w:val="32"/>
          <w:szCs w:val="32"/>
        </w:rPr>
        <w:t>（一）</w:t>
      </w:r>
      <w:r>
        <w:rPr>
          <w:rFonts w:hint="eastAsia" w:ascii="楷体" w:hAnsi="楷体" w:eastAsia="楷体" w:cs="楷体"/>
          <w:sz w:val="32"/>
          <w:szCs w:val="32"/>
        </w:rPr>
        <w:t>抽检依据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抽检依据是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《食品安全国家标准 食品中真菌毒素限量》（GB 2761）</w:t>
      </w:r>
      <w:r>
        <w:rPr>
          <w:rFonts w:hint="eastAsia" w:ascii="仿宋" w:hAnsi="仿宋" w:eastAsia="仿宋" w:cs="仿宋"/>
          <w:sz w:val="32"/>
          <w:szCs w:val="32"/>
        </w:rPr>
        <w:t>、《食品安全国家标准 食品添加剂使用标准》（GB 2760）、《食品安全国家标准 坚果与籽类食品》（GB 19300）等标准。</w:t>
      </w:r>
    </w:p>
    <w:p>
      <w:pPr>
        <w:snapToGrid w:val="0"/>
        <w:spacing w:line="600" w:lineRule="exact"/>
        <w:ind w:firstLine="640" w:firstLineChars="200"/>
        <w:jc w:val="left"/>
        <w:rPr>
          <w:rFonts w:hint="eastAsia" w:ascii="楷体" w:hAnsi="楷体" w:eastAsia="楷体" w:cs="楷体"/>
          <w:bCs/>
          <w:sz w:val="32"/>
          <w:szCs w:val="32"/>
        </w:rPr>
      </w:pPr>
      <w:r>
        <w:rPr>
          <w:rFonts w:hint="eastAsia" w:ascii="楷体" w:hAnsi="楷体" w:eastAsia="楷体" w:cs="楷体"/>
          <w:bCs/>
          <w:sz w:val="32"/>
          <w:szCs w:val="32"/>
        </w:rPr>
        <w:t>（二）</w:t>
      </w:r>
      <w:r>
        <w:rPr>
          <w:rFonts w:hint="eastAsia" w:ascii="楷体" w:hAnsi="楷体" w:eastAsia="楷体" w:cs="楷体"/>
          <w:sz w:val="32"/>
          <w:szCs w:val="32"/>
        </w:rPr>
        <w:t>检验项目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.炒货食品及坚果制品抽检项目包括酸价（以脂肪计）、过氧化值（以脂肪计）、糖精钠（以糖精计）、甜蜜素（以环己基氨基磺酸计）、大肠菌群、霉菌、黄曲霉毒素B</w:t>
      </w:r>
      <w:r>
        <w:rPr>
          <w:rFonts w:hint="eastAsia" w:ascii="仿宋" w:hAnsi="仿宋" w:eastAsia="仿宋" w:cs="仿宋"/>
          <w:sz w:val="32"/>
          <w:szCs w:val="32"/>
          <w:vertAlign w:val="subscript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七</w:t>
      </w:r>
      <w:r>
        <w:rPr>
          <w:rFonts w:hint="eastAsia" w:ascii="黑体" w:hAnsi="黑体" w:eastAsia="黑体" w:cs="黑体"/>
          <w:sz w:val="32"/>
          <w:szCs w:val="32"/>
        </w:rPr>
        <w:t>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淀粉及淀粉</w:t>
      </w:r>
      <w:r>
        <w:rPr>
          <w:rFonts w:hint="eastAsia" w:ascii="黑体" w:hAnsi="黑体" w:eastAsia="黑体" w:cs="黑体"/>
          <w:sz w:val="32"/>
          <w:szCs w:val="32"/>
        </w:rPr>
        <w:t>制品</w:t>
      </w:r>
    </w:p>
    <w:p>
      <w:pPr>
        <w:snapToGrid w:val="0"/>
        <w:spacing w:line="600" w:lineRule="exact"/>
        <w:ind w:firstLine="640" w:firstLineChars="200"/>
        <w:jc w:val="left"/>
        <w:rPr>
          <w:rFonts w:hint="eastAsia" w:ascii="楷体" w:hAnsi="楷体" w:eastAsia="楷体" w:cs="楷体"/>
          <w:bCs/>
          <w:sz w:val="32"/>
          <w:szCs w:val="32"/>
        </w:rPr>
      </w:pPr>
      <w:r>
        <w:rPr>
          <w:rFonts w:hint="eastAsia" w:ascii="楷体" w:hAnsi="楷体" w:eastAsia="楷体" w:cs="楷体"/>
          <w:bCs/>
          <w:sz w:val="32"/>
          <w:szCs w:val="32"/>
        </w:rPr>
        <w:t>（一）</w:t>
      </w:r>
      <w:r>
        <w:rPr>
          <w:rFonts w:hint="eastAsia" w:ascii="楷体" w:hAnsi="楷体" w:eastAsia="楷体" w:cs="楷体"/>
          <w:sz w:val="32"/>
          <w:szCs w:val="32"/>
        </w:rPr>
        <w:t>抽检依据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抽检依据是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 xml:space="preserve"> GB 2762-2017《食品安全国家标准 食品中污染物限量》，GB 2760-2014《食品安全国家标准 食品添加剂使用标准》 要求</w:t>
      </w:r>
      <w:r>
        <w:rPr>
          <w:rFonts w:hint="eastAsia" w:ascii="仿宋" w:hAnsi="仿宋" w:eastAsia="仿宋" w:cs="仿宋"/>
          <w:sz w:val="32"/>
          <w:szCs w:val="32"/>
        </w:rPr>
        <w:t>、GB 31637-2016《食品安全国家标准 食用淀粉》，GB 2760-2014《食品安全国家标准 食品添加剂使用标准》等标准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snapToGrid w:val="0"/>
        <w:spacing w:line="600" w:lineRule="exact"/>
        <w:ind w:firstLine="640" w:firstLineChars="200"/>
        <w:jc w:val="left"/>
        <w:rPr>
          <w:rFonts w:hint="eastAsia" w:ascii="楷体" w:hAnsi="楷体" w:eastAsia="楷体" w:cs="楷体"/>
          <w:bCs/>
          <w:sz w:val="32"/>
          <w:szCs w:val="32"/>
        </w:rPr>
      </w:pPr>
      <w:r>
        <w:rPr>
          <w:rFonts w:hint="eastAsia" w:ascii="楷体" w:hAnsi="楷体" w:eastAsia="楷体" w:cs="楷体"/>
          <w:bCs/>
          <w:sz w:val="32"/>
          <w:szCs w:val="32"/>
        </w:rPr>
        <w:t>（二）</w:t>
      </w:r>
      <w:r>
        <w:rPr>
          <w:rFonts w:hint="eastAsia" w:ascii="楷体" w:hAnsi="楷体" w:eastAsia="楷体" w:cs="楷体"/>
          <w:sz w:val="32"/>
          <w:szCs w:val="32"/>
        </w:rPr>
        <w:t>检验项目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淀粉及淀粉</w:t>
      </w:r>
      <w:r>
        <w:rPr>
          <w:rFonts w:hint="eastAsia" w:ascii="仿宋" w:hAnsi="仿宋" w:eastAsia="仿宋" w:cs="仿宋"/>
          <w:sz w:val="32"/>
          <w:szCs w:val="32"/>
        </w:rPr>
        <w:t>制品制品抽检项目包括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铅（以Pb计）、脱氢乙酸及其钠盐（以脱氢乙酸计）、铝的残留量（干样品，以Al计）、二氧化硫残留量、苯甲酸、山梨酸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snapToGrid w:val="0"/>
        <w:spacing w:line="600" w:lineRule="exact"/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八</w:t>
      </w:r>
      <w:r>
        <w:rPr>
          <w:rFonts w:hint="eastAsia" w:ascii="黑体" w:hAnsi="黑体" w:eastAsia="黑体" w:cs="黑体"/>
          <w:sz w:val="32"/>
          <w:szCs w:val="32"/>
        </w:rPr>
        <w:t>、糕点</w:t>
      </w:r>
    </w:p>
    <w:p>
      <w:pPr>
        <w:snapToGrid w:val="0"/>
        <w:spacing w:line="600" w:lineRule="exact"/>
        <w:ind w:firstLine="640" w:firstLineChars="200"/>
        <w:jc w:val="left"/>
        <w:rPr>
          <w:rFonts w:hint="eastAsia" w:ascii="楷体" w:hAnsi="楷体" w:eastAsia="楷体" w:cs="楷体"/>
          <w:bCs/>
          <w:sz w:val="32"/>
          <w:szCs w:val="32"/>
        </w:rPr>
      </w:pPr>
      <w:r>
        <w:rPr>
          <w:rFonts w:hint="eastAsia" w:ascii="楷体" w:hAnsi="楷体" w:eastAsia="楷体" w:cs="楷体"/>
          <w:bCs/>
          <w:sz w:val="32"/>
          <w:szCs w:val="32"/>
        </w:rPr>
        <w:t>（一）</w:t>
      </w:r>
      <w:r>
        <w:rPr>
          <w:rFonts w:hint="eastAsia" w:ascii="楷体" w:hAnsi="楷体" w:eastAsia="楷体" w:cs="楷体"/>
          <w:sz w:val="32"/>
          <w:szCs w:val="32"/>
        </w:rPr>
        <w:t>抽检依据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抽检依据是《食品安全国家标准 食品添加剂使用标准》（GB 2760）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《食品安全国家标准 糕点、面包》（GB 7099）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、《食品安全国家标准 速冻面米制品》</w:t>
      </w: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GB 19295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 要求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snapToGrid w:val="0"/>
        <w:spacing w:line="600" w:lineRule="exact"/>
        <w:ind w:firstLine="640" w:firstLineChars="200"/>
        <w:jc w:val="left"/>
        <w:rPr>
          <w:rFonts w:hint="eastAsia" w:ascii="楷体" w:hAnsi="楷体" w:eastAsia="楷体" w:cs="楷体"/>
          <w:bCs/>
          <w:sz w:val="32"/>
          <w:szCs w:val="32"/>
        </w:rPr>
      </w:pPr>
      <w:r>
        <w:rPr>
          <w:rFonts w:hint="eastAsia" w:ascii="楷体" w:hAnsi="楷体" w:eastAsia="楷体" w:cs="楷体"/>
          <w:bCs/>
          <w:sz w:val="32"/>
          <w:szCs w:val="32"/>
        </w:rPr>
        <w:t>（二）</w:t>
      </w:r>
      <w:r>
        <w:rPr>
          <w:rFonts w:hint="eastAsia" w:ascii="楷体" w:hAnsi="楷体" w:eastAsia="楷体" w:cs="楷体"/>
          <w:sz w:val="32"/>
          <w:szCs w:val="32"/>
        </w:rPr>
        <w:t>检验项目</w:t>
      </w:r>
    </w:p>
    <w:p>
      <w:pPr>
        <w:snapToGrid w:val="0"/>
        <w:spacing w:line="60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1.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月饼</w:t>
      </w:r>
      <w:r>
        <w:rPr>
          <w:rFonts w:hint="eastAsia" w:ascii="仿宋" w:hAnsi="仿宋" w:eastAsia="仿宋" w:cs="仿宋"/>
          <w:sz w:val="32"/>
          <w:szCs w:val="32"/>
        </w:rPr>
        <w:t>抽检项目包括酸价（以脂肪计）、过氧化值（以脂肪计）、苯甲酸及其钠盐（以苯甲酸计）、山梨酸及其钾盐（以山梨酸计）、糖精钠（以糖精计）、甜蜜素（以环己基氨基磺酸计）、安赛蜜（除面包外的产品检测）、铝的残留量（干样品，以Al计）、脱氢乙酸及其钠盐（以脱氢乙酸计）、菌落总数、大肠菌群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snapToGrid w:val="0"/>
        <w:spacing w:line="600" w:lineRule="exact"/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九</w:t>
      </w:r>
      <w:r>
        <w:rPr>
          <w:rFonts w:hint="eastAsia" w:ascii="黑体" w:hAnsi="黑体" w:eastAsia="黑体" w:cs="黑体"/>
          <w:sz w:val="32"/>
          <w:szCs w:val="32"/>
        </w:rPr>
        <w:t>、餐饮食品</w:t>
      </w:r>
    </w:p>
    <w:p>
      <w:pPr>
        <w:snapToGrid w:val="0"/>
        <w:spacing w:line="600" w:lineRule="exact"/>
        <w:ind w:firstLine="640" w:firstLineChars="200"/>
        <w:jc w:val="left"/>
        <w:rPr>
          <w:rFonts w:hint="eastAsia" w:ascii="楷体" w:hAnsi="楷体" w:eastAsia="楷体" w:cs="楷体"/>
          <w:bCs/>
          <w:sz w:val="32"/>
          <w:szCs w:val="32"/>
        </w:rPr>
      </w:pPr>
      <w:r>
        <w:rPr>
          <w:rFonts w:hint="eastAsia" w:ascii="楷体" w:hAnsi="楷体" w:eastAsia="楷体" w:cs="楷体"/>
          <w:bCs/>
          <w:sz w:val="32"/>
          <w:szCs w:val="32"/>
        </w:rPr>
        <w:t>（一）</w:t>
      </w:r>
      <w:r>
        <w:rPr>
          <w:rFonts w:hint="eastAsia" w:ascii="楷体" w:hAnsi="楷体" w:eastAsia="楷体" w:cs="楷体"/>
          <w:sz w:val="32"/>
          <w:szCs w:val="32"/>
        </w:rPr>
        <w:t>抽检依据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抽检依据是《食品安全国家标准 食品添加剂使用标准》（GB 2760）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等</w:t>
      </w:r>
      <w:r>
        <w:rPr>
          <w:rFonts w:hint="eastAsia" w:ascii="仿宋" w:hAnsi="仿宋" w:eastAsia="仿宋" w:cs="仿宋"/>
          <w:sz w:val="32"/>
          <w:szCs w:val="32"/>
        </w:rPr>
        <w:t>标准。</w:t>
      </w:r>
    </w:p>
    <w:p>
      <w:pPr>
        <w:snapToGrid w:val="0"/>
        <w:spacing w:line="600" w:lineRule="exact"/>
        <w:ind w:firstLine="640" w:firstLineChars="200"/>
        <w:jc w:val="left"/>
        <w:rPr>
          <w:rFonts w:hint="eastAsia" w:ascii="楷体" w:hAnsi="楷体" w:eastAsia="楷体" w:cs="楷体"/>
          <w:bCs/>
          <w:sz w:val="32"/>
          <w:szCs w:val="32"/>
        </w:rPr>
      </w:pPr>
      <w:r>
        <w:rPr>
          <w:rFonts w:hint="eastAsia" w:ascii="楷体" w:hAnsi="楷体" w:eastAsia="楷体" w:cs="楷体"/>
          <w:bCs/>
          <w:sz w:val="32"/>
          <w:szCs w:val="32"/>
        </w:rPr>
        <w:t>（二）</w:t>
      </w:r>
      <w:r>
        <w:rPr>
          <w:rFonts w:hint="eastAsia" w:ascii="楷体" w:hAnsi="楷体" w:eastAsia="楷体" w:cs="楷体"/>
          <w:sz w:val="32"/>
          <w:szCs w:val="32"/>
        </w:rPr>
        <w:t>检验项目</w:t>
      </w:r>
    </w:p>
    <w:p>
      <w:pPr>
        <w:snapToGrid w:val="0"/>
        <w:spacing w:line="60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1.油炸面制品(自制)抽检项目包括铝的残留量（干样品，以Al计）。</w:t>
      </w:r>
    </w:p>
    <w:p>
      <w:pPr>
        <w:snapToGrid w:val="0"/>
        <w:spacing w:line="600" w:lineRule="exact"/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十、豆制品</w:t>
      </w:r>
    </w:p>
    <w:p>
      <w:pPr>
        <w:snapToGrid w:val="0"/>
        <w:spacing w:line="600" w:lineRule="exact"/>
        <w:ind w:firstLine="640" w:firstLineChars="200"/>
        <w:jc w:val="left"/>
        <w:rPr>
          <w:rFonts w:hint="eastAsia" w:ascii="楷体" w:hAnsi="楷体" w:eastAsia="楷体" w:cs="楷体"/>
          <w:bCs/>
          <w:sz w:val="32"/>
          <w:szCs w:val="32"/>
        </w:rPr>
      </w:pPr>
      <w:r>
        <w:rPr>
          <w:rFonts w:hint="eastAsia" w:ascii="楷体" w:hAnsi="楷体" w:eastAsia="楷体" w:cs="楷体"/>
          <w:bCs/>
          <w:sz w:val="32"/>
          <w:szCs w:val="32"/>
        </w:rPr>
        <w:t>（一）</w:t>
      </w:r>
      <w:r>
        <w:rPr>
          <w:rFonts w:hint="eastAsia" w:ascii="楷体" w:hAnsi="楷体" w:eastAsia="楷体" w:cs="楷体"/>
          <w:sz w:val="32"/>
          <w:szCs w:val="32"/>
        </w:rPr>
        <w:t>抽检依据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抽检依据是 GB 2760-2014《食品安全国家标准 食品添加剂使用标准》要求等标准。</w:t>
      </w:r>
    </w:p>
    <w:p>
      <w:pPr>
        <w:snapToGrid w:val="0"/>
        <w:spacing w:line="600" w:lineRule="exact"/>
        <w:ind w:firstLine="640" w:firstLineChars="200"/>
        <w:jc w:val="left"/>
        <w:rPr>
          <w:rFonts w:hint="eastAsia" w:ascii="楷体" w:hAnsi="楷体" w:eastAsia="楷体" w:cs="楷体"/>
          <w:bCs/>
          <w:sz w:val="32"/>
          <w:szCs w:val="32"/>
        </w:rPr>
      </w:pPr>
      <w:r>
        <w:rPr>
          <w:rFonts w:hint="eastAsia" w:ascii="楷体" w:hAnsi="楷体" w:eastAsia="楷体" w:cs="楷体"/>
          <w:bCs/>
          <w:sz w:val="32"/>
          <w:szCs w:val="32"/>
        </w:rPr>
        <w:t>（二）</w:t>
      </w:r>
      <w:r>
        <w:rPr>
          <w:rFonts w:hint="eastAsia" w:ascii="楷体" w:hAnsi="楷体" w:eastAsia="楷体" w:cs="楷体"/>
          <w:sz w:val="32"/>
          <w:szCs w:val="32"/>
        </w:rPr>
        <w:t>检验项目</w:t>
      </w:r>
    </w:p>
    <w:p>
      <w:pPr>
        <w:snapToGrid w:val="0"/>
        <w:spacing w:line="60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餐饮具</w:t>
      </w:r>
      <w:r>
        <w:rPr>
          <w:rFonts w:hint="eastAsia" w:ascii="仿宋" w:hAnsi="仿宋" w:eastAsia="仿宋" w:cs="仿宋"/>
          <w:sz w:val="32"/>
          <w:szCs w:val="32"/>
        </w:rPr>
        <w:t>等抽检项目包括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阴离子合成洗涤剂、大肠菌群</w:t>
      </w:r>
    </w:p>
    <w:p>
      <w:pPr>
        <w:snapToGrid w:val="0"/>
        <w:spacing w:line="600" w:lineRule="exact"/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十一、茶叶及相关制品</w:t>
      </w:r>
    </w:p>
    <w:p>
      <w:pPr>
        <w:snapToGrid w:val="0"/>
        <w:spacing w:line="600" w:lineRule="exact"/>
        <w:ind w:firstLine="640" w:firstLineChars="200"/>
        <w:jc w:val="left"/>
        <w:rPr>
          <w:rFonts w:hint="eastAsia" w:ascii="楷体" w:hAnsi="楷体" w:eastAsia="楷体" w:cs="楷体"/>
          <w:bCs/>
          <w:sz w:val="32"/>
          <w:szCs w:val="32"/>
        </w:rPr>
      </w:pPr>
      <w:r>
        <w:rPr>
          <w:rFonts w:hint="eastAsia" w:ascii="楷体" w:hAnsi="楷体" w:eastAsia="楷体" w:cs="楷体"/>
          <w:bCs/>
          <w:sz w:val="32"/>
          <w:szCs w:val="32"/>
        </w:rPr>
        <w:t>（一）</w:t>
      </w:r>
      <w:r>
        <w:rPr>
          <w:rFonts w:hint="eastAsia" w:ascii="楷体" w:hAnsi="楷体" w:eastAsia="楷体" w:cs="楷体"/>
          <w:sz w:val="32"/>
          <w:szCs w:val="32"/>
        </w:rPr>
        <w:t>抽检依据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抽检依据是《食品安全国家标准 食品中污染物限量》（GB 2762）要求等标准。</w:t>
      </w:r>
    </w:p>
    <w:p>
      <w:pPr>
        <w:snapToGrid w:val="0"/>
        <w:spacing w:line="600" w:lineRule="exact"/>
        <w:ind w:firstLine="640" w:firstLineChars="200"/>
        <w:jc w:val="left"/>
        <w:rPr>
          <w:rFonts w:hint="eastAsia" w:ascii="楷体" w:hAnsi="楷体" w:eastAsia="楷体" w:cs="楷体"/>
          <w:bCs/>
          <w:sz w:val="32"/>
          <w:szCs w:val="32"/>
        </w:rPr>
      </w:pPr>
      <w:r>
        <w:rPr>
          <w:rFonts w:hint="eastAsia" w:ascii="楷体" w:hAnsi="楷体" w:eastAsia="楷体" w:cs="楷体"/>
          <w:bCs/>
          <w:sz w:val="32"/>
          <w:szCs w:val="32"/>
        </w:rPr>
        <w:t>（二）</w:t>
      </w:r>
      <w:r>
        <w:rPr>
          <w:rFonts w:hint="eastAsia" w:ascii="楷体" w:hAnsi="楷体" w:eastAsia="楷体" w:cs="楷体"/>
          <w:sz w:val="32"/>
          <w:szCs w:val="32"/>
        </w:rPr>
        <w:t>检验项目</w:t>
      </w:r>
    </w:p>
    <w:p>
      <w:pPr>
        <w:snapToGrid w:val="0"/>
        <w:spacing w:line="600" w:lineRule="exact"/>
        <w:ind w:firstLine="960" w:firstLineChars="300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代用茶抽检项目包括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铅（以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Pb计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）。</w:t>
      </w:r>
    </w:p>
    <w:p>
      <w:pPr>
        <w:snapToGrid w:val="0"/>
        <w:spacing w:line="600" w:lineRule="exact"/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十二、食糖</w:t>
      </w:r>
    </w:p>
    <w:p>
      <w:pPr>
        <w:snapToGrid w:val="0"/>
        <w:spacing w:line="600" w:lineRule="exact"/>
        <w:ind w:firstLine="640" w:firstLineChars="200"/>
        <w:jc w:val="left"/>
        <w:rPr>
          <w:rFonts w:hint="eastAsia" w:ascii="楷体" w:hAnsi="楷体" w:eastAsia="楷体" w:cs="楷体"/>
          <w:bCs/>
          <w:sz w:val="32"/>
          <w:szCs w:val="32"/>
        </w:rPr>
      </w:pPr>
      <w:r>
        <w:rPr>
          <w:rFonts w:hint="eastAsia" w:ascii="楷体" w:hAnsi="楷体" w:eastAsia="楷体" w:cs="楷体"/>
          <w:bCs/>
          <w:sz w:val="32"/>
          <w:szCs w:val="32"/>
        </w:rPr>
        <w:t>（一）</w:t>
      </w:r>
      <w:r>
        <w:rPr>
          <w:rFonts w:hint="eastAsia" w:ascii="楷体" w:hAnsi="楷体" w:eastAsia="楷体" w:cs="楷体"/>
          <w:sz w:val="32"/>
          <w:szCs w:val="32"/>
        </w:rPr>
        <w:t>抽检依据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抽检依据是 GB/T 35885-2018《红糖》，GB 13104-2014《食品安全国家标准 食糖》要求等标准。</w:t>
      </w:r>
    </w:p>
    <w:p>
      <w:pPr>
        <w:snapToGrid w:val="0"/>
        <w:spacing w:line="600" w:lineRule="exact"/>
        <w:ind w:firstLine="640" w:firstLineChars="200"/>
        <w:jc w:val="left"/>
        <w:rPr>
          <w:rFonts w:hint="eastAsia" w:ascii="楷体" w:hAnsi="楷体" w:eastAsia="楷体" w:cs="楷体"/>
          <w:bCs/>
          <w:sz w:val="32"/>
          <w:szCs w:val="32"/>
        </w:rPr>
      </w:pPr>
      <w:r>
        <w:rPr>
          <w:rFonts w:hint="eastAsia" w:ascii="楷体" w:hAnsi="楷体" w:eastAsia="楷体" w:cs="楷体"/>
          <w:bCs/>
          <w:sz w:val="32"/>
          <w:szCs w:val="32"/>
        </w:rPr>
        <w:t>（二）</w:t>
      </w:r>
      <w:r>
        <w:rPr>
          <w:rFonts w:hint="eastAsia" w:ascii="楷体" w:hAnsi="楷体" w:eastAsia="楷体" w:cs="楷体"/>
          <w:sz w:val="32"/>
          <w:szCs w:val="32"/>
        </w:rPr>
        <w:t>检验项目</w:t>
      </w:r>
    </w:p>
    <w:p>
      <w:pPr>
        <w:snapToGrid w:val="0"/>
        <w:spacing w:line="600" w:lineRule="exact"/>
        <w:ind w:firstLine="960" w:firstLineChars="300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食糖</w:t>
      </w:r>
      <w:r>
        <w:rPr>
          <w:rFonts w:hint="eastAsia" w:ascii="仿宋" w:hAnsi="仿宋" w:eastAsia="仿宋" w:cs="仿宋"/>
          <w:sz w:val="32"/>
          <w:szCs w:val="32"/>
        </w:rPr>
        <w:t>抽检项目包括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总糖分（蔗糖分+还原糖分）、不溶于水杂质、螨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numPr>
          <w:numId w:val="0"/>
        </w:numPr>
        <w:snapToGrid w:val="0"/>
        <w:spacing w:line="600" w:lineRule="exact"/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十三、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薯类和膨化食品</w:t>
      </w:r>
    </w:p>
    <w:p>
      <w:pPr>
        <w:snapToGrid w:val="0"/>
        <w:spacing w:line="600" w:lineRule="exact"/>
        <w:ind w:firstLine="640" w:firstLineChars="200"/>
        <w:jc w:val="left"/>
        <w:rPr>
          <w:rFonts w:hint="eastAsia" w:ascii="楷体" w:hAnsi="楷体" w:eastAsia="楷体" w:cs="楷体"/>
          <w:bCs/>
          <w:sz w:val="32"/>
          <w:szCs w:val="32"/>
        </w:rPr>
      </w:pPr>
      <w:r>
        <w:rPr>
          <w:rFonts w:hint="eastAsia" w:ascii="楷体" w:hAnsi="楷体" w:eastAsia="楷体" w:cs="楷体"/>
          <w:bCs/>
          <w:sz w:val="32"/>
          <w:szCs w:val="32"/>
        </w:rPr>
        <w:t>（一）</w:t>
      </w:r>
      <w:r>
        <w:rPr>
          <w:rFonts w:hint="eastAsia" w:ascii="楷体" w:hAnsi="楷体" w:eastAsia="楷体" w:cs="楷体"/>
          <w:sz w:val="32"/>
          <w:szCs w:val="32"/>
        </w:rPr>
        <w:t>抽检依据</w:t>
      </w:r>
    </w:p>
    <w:p>
      <w:pPr>
        <w:ind w:firstLine="960" w:firstLineChars="3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抽检依据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是</w:t>
      </w:r>
      <w:r>
        <w:rPr>
          <w:rFonts w:hint="eastAsia" w:ascii="仿宋" w:hAnsi="仿宋" w:eastAsia="仿宋" w:cs="仿宋"/>
          <w:sz w:val="32"/>
          <w:szCs w:val="32"/>
        </w:rPr>
        <w:t>QB/T 2686-2005《马铃薯片》要求等标准。</w:t>
      </w:r>
    </w:p>
    <w:p>
      <w:pPr>
        <w:numPr>
          <w:ilvl w:val="0"/>
          <w:numId w:val="1"/>
        </w:numPr>
        <w:snapToGrid w:val="0"/>
        <w:spacing w:line="600" w:lineRule="exact"/>
        <w:ind w:left="958" w:leftChars="304" w:hanging="320" w:hangingChars="100"/>
        <w:jc w:val="left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检验项目</w:t>
      </w:r>
    </w:p>
    <w:p>
      <w:pPr>
        <w:numPr>
          <w:ilvl w:val="0"/>
          <w:numId w:val="2"/>
        </w:numPr>
        <w:snapToGrid w:val="0"/>
        <w:spacing w:line="600" w:lineRule="exact"/>
        <w:ind w:leftChars="204" w:firstLine="320" w:firstLineChars="10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薯类和膨化食品</w:t>
      </w:r>
      <w:r>
        <w:rPr>
          <w:rFonts w:hint="eastAsia" w:ascii="仿宋" w:hAnsi="仿宋" w:eastAsia="仿宋" w:cs="仿宋"/>
          <w:sz w:val="32"/>
          <w:szCs w:val="32"/>
        </w:rPr>
        <w:t>抽检项目包括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酸价（以脂肪计）、过氧化值（以脂肪计）、菌落总数、大肠菌群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numPr>
          <w:ilvl w:val="0"/>
          <w:numId w:val="3"/>
        </w:numPr>
        <w:snapToGrid w:val="0"/>
        <w:spacing w:line="600" w:lineRule="exact"/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水果制品</w:t>
      </w:r>
    </w:p>
    <w:p>
      <w:pPr>
        <w:snapToGrid w:val="0"/>
        <w:spacing w:line="600" w:lineRule="exact"/>
        <w:ind w:firstLine="640" w:firstLineChars="200"/>
        <w:jc w:val="left"/>
        <w:rPr>
          <w:rFonts w:hint="eastAsia" w:ascii="楷体" w:hAnsi="楷体" w:eastAsia="楷体" w:cs="楷体"/>
          <w:bCs/>
          <w:sz w:val="32"/>
          <w:szCs w:val="32"/>
        </w:rPr>
      </w:pPr>
      <w:r>
        <w:rPr>
          <w:rFonts w:hint="eastAsia" w:ascii="楷体" w:hAnsi="楷体" w:eastAsia="楷体" w:cs="楷体"/>
          <w:bCs/>
          <w:sz w:val="32"/>
          <w:szCs w:val="32"/>
        </w:rPr>
        <w:t>（一）</w:t>
      </w:r>
      <w:r>
        <w:rPr>
          <w:rFonts w:hint="eastAsia" w:ascii="楷体" w:hAnsi="楷体" w:eastAsia="楷体" w:cs="楷体"/>
          <w:sz w:val="32"/>
          <w:szCs w:val="32"/>
        </w:rPr>
        <w:t>抽检依据</w:t>
      </w:r>
    </w:p>
    <w:p>
      <w:pPr>
        <w:ind w:firstLine="960" w:firstLineChars="3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抽检依据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是</w:t>
      </w:r>
      <w:r>
        <w:rPr>
          <w:rFonts w:hint="eastAsia" w:ascii="仿宋" w:hAnsi="仿宋" w:eastAsia="仿宋" w:cs="仿宋"/>
          <w:sz w:val="32"/>
          <w:szCs w:val="32"/>
        </w:rPr>
        <w:t>抽检依据是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 xml:space="preserve"> GB 2762-2017《食品安全国家标准 食品中污染物限量》，GB 2760-2014《食品安全国家标准 食品添加剂使用标准》</w:t>
      </w:r>
      <w:r>
        <w:rPr>
          <w:rFonts w:hint="eastAsia" w:ascii="仿宋" w:hAnsi="仿宋" w:eastAsia="仿宋" w:cs="仿宋"/>
          <w:sz w:val="32"/>
          <w:szCs w:val="32"/>
        </w:rPr>
        <w:t>要求等标准。</w:t>
      </w:r>
    </w:p>
    <w:p>
      <w:pPr>
        <w:numPr>
          <w:numId w:val="0"/>
        </w:numPr>
        <w:snapToGrid w:val="0"/>
        <w:spacing w:line="600" w:lineRule="exact"/>
        <w:ind w:leftChars="204"/>
        <w:jc w:val="left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（二）</w:t>
      </w:r>
      <w:r>
        <w:rPr>
          <w:rFonts w:hint="eastAsia" w:ascii="楷体" w:hAnsi="楷体" w:eastAsia="楷体" w:cs="楷体"/>
          <w:sz w:val="32"/>
          <w:szCs w:val="32"/>
        </w:rPr>
        <w:t>检验项目</w:t>
      </w:r>
    </w:p>
    <w:p>
      <w:pPr>
        <w:numPr>
          <w:numId w:val="0"/>
        </w:numPr>
        <w:snapToGrid w:val="0"/>
        <w:spacing w:line="60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薯类和膨化食品</w:t>
      </w:r>
      <w:r>
        <w:rPr>
          <w:rFonts w:hint="eastAsia" w:ascii="仿宋" w:hAnsi="仿宋" w:eastAsia="仿宋" w:cs="仿宋"/>
          <w:sz w:val="32"/>
          <w:szCs w:val="32"/>
        </w:rPr>
        <w:t>抽检项目包括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苯甲酸及其钠盐（以苯甲酸计）、山梨酸及其钾盐（以山梨酸计）、脱氢乙酸及其钠盐（以脱氢乙酸计）、防腐剂混合使用时各自用量占其最大使用量的比例之和、糖精钠（以糖精计）、二氧化硫残留量、合成着色剂（亮蓝、柠檬黄、日落黄、苋菜红、胭脂红）（视产品具体色泽而定）、菌落总数、甜蜜素、铅、霉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numPr>
          <w:ilvl w:val="0"/>
          <w:numId w:val="3"/>
        </w:numPr>
        <w:snapToGrid w:val="0"/>
        <w:spacing w:line="600" w:lineRule="exact"/>
        <w:ind w:left="0" w:leftChars="0" w:firstLine="640" w:firstLineChars="20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速冻食品</w:t>
      </w:r>
    </w:p>
    <w:p>
      <w:pPr>
        <w:snapToGrid w:val="0"/>
        <w:spacing w:line="600" w:lineRule="exact"/>
        <w:ind w:firstLine="320" w:firstLineChars="100"/>
        <w:jc w:val="left"/>
        <w:rPr>
          <w:rFonts w:hint="eastAsia" w:ascii="楷体" w:hAnsi="楷体" w:eastAsia="楷体" w:cs="楷体"/>
          <w:bCs/>
          <w:sz w:val="32"/>
          <w:szCs w:val="32"/>
        </w:rPr>
      </w:pPr>
      <w:r>
        <w:rPr>
          <w:rFonts w:hint="eastAsia" w:ascii="楷体" w:hAnsi="楷体" w:eastAsia="楷体" w:cs="楷体"/>
          <w:bCs/>
          <w:sz w:val="32"/>
          <w:szCs w:val="32"/>
        </w:rPr>
        <w:t>（一）</w:t>
      </w:r>
      <w:r>
        <w:rPr>
          <w:rFonts w:hint="eastAsia" w:ascii="楷体" w:hAnsi="楷体" w:eastAsia="楷体" w:cs="楷体"/>
          <w:sz w:val="32"/>
          <w:szCs w:val="32"/>
        </w:rPr>
        <w:t>抽检依据</w:t>
      </w:r>
    </w:p>
    <w:p>
      <w:pPr>
        <w:ind w:firstLine="960" w:firstLineChars="3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抽检依据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是GB 19295-2011《食品安全国家标准 速冻面米制品》、GB 2760-2014《食品安全国家标准 食品添加剂使用标准》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要求等标准。</w:t>
      </w:r>
    </w:p>
    <w:p>
      <w:pPr>
        <w:numPr>
          <w:numId w:val="0"/>
        </w:numPr>
        <w:snapToGrid w:val="0"/>
        <w:spacing w:line="600" w:lineRule="exact"/>
        <w:ind w:leftChars="204"/>
        <w:jc w:val="left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（二）</w:t>
      </w:r>
      <w:r>
        <w:rPr>
          <w:rFonts w:hint="eastAsia" w:ascii="楷体" w:hAnsi="楷体" w:eastAsia="楷体" w:cs="楷体"/>
          <w:sz w:val="32"/>
          <w:szCs w:val="32"/>
        </w:rPr>
        <w:t>检验项目</w:t>
      </w:r>
    </w:p>
    <w:p>
      <w:pPr>
        <w:numPr>
          <w:numId w:val="0"/>
        </w:numPr>
        <w:snapToGrid w:val="0"/>
        <w:spacing w:line="600" w:lineRule="exact"/>
        <w:ind w:left="235" w:leftChars="112" w:firstLine="1040" w:firstLineChars="325"/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速冻食品</w:t>
      </w:r>
      <w:r>
        <w:rPr>
          <w:rFonts w:hint="eastAsia" w:ascii="仿宋" w:hAnsi="仿宋" w:eastAsia="仿宋" w:cs="仿宋"/>
          <w:sz w:val="32"/>
          <w:szCs w:val="32"/>
        </w:rPr>
        <w:t>抽检项目包括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糖精钠（以糖精计）、菌落总数、大肠菌群、脱氢乙酸及其钠盐（以脱氢乙酸计）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snapToGrid w:val="0"/>
        <w:spacing w:line="600" w:lineRule="exact"/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十六</w:t>
      </w:r>
      <w:r>
        <w:rPr>
          <w:rFonts w:hint="eastAsia" w:ascii="黑体" w:hAnsi="黑体" w:eastAsia="黑体" w:cs="黑体"/>
          <w:sz w:val="32"/>
          <w:szCs w:val="32"/>
        </w:rPr>
        <w:t>、食用农产品</w:t>
      </w:r>
    </w:p>
    <w:p>
      <w:pPr>
        <w:snapToGrid w:val="0"/>
        <w:spacing w:line="600" w:lineRule="exact"/>
        <w:ind w:firstLine="640" w:firstLineChars="200"/>
        <w:jc w:val="left"/>
        <w:rPr>
          <w:rFonts w:hint="eastAsia" w:ascii="楷体" w:hAnsi="楷体" w:eastAsia="楷体" w:cs="楷体"/>
          <w:bCs/>
          <w:sz w:val="32"/>
          <w:szCs w:val="32"/>
        </w:rPr>
      </w:pPr>
      <w:r>
        <w:rPr>
          <w:rFonts w:hint="eastAsia" w:ascii="楷体" w:hAnsi="楷体" w:eastAsia="楷体" w:cs="楷体"/>
          <w:bCs/>
          <w:sz w:val="32"/>
          <w:szCs w:val="32"/>
        </w:rPr>
        <w:t>（一）</w:t>
      </w:r>
      <w:r>
        <w:rPr>
          <w:rFonts w:hint="eastAsia" w:ascii="楷体" w:hAnsi="楷体" w:eastAsia="楷体" w:cs="楷体"/>
          <w:sz w:val="32"/>
          <w:szCs w:val="32"/>
        </w:rPr>
        <w:t>抽检依据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抽检依据是《食品安全国家标准 食品中污染物限量》（GB 2762）、《食品安全国家标准 食品中农药最大残留限量》（GB 2763）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、农业农村部公告第250号《食品动物中禁止使用的药品及其他化合物清单》，《食品安全国家标准 食品中兽药最大残留限量》</w:t>
      </w: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GB 31650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、整顿办函[2010]50号《食品中可能违法添加的非食用物质和易滥用的食品添加剂名单(第四批)》、</w:t>
      </w:r>
      <w:r>
        <w:rPr>
          <w:rFonts w:hint="eastAsia" w:ascii="仿宋" w:hAnsi="仿宋" w:eastAsia="仿宋" w:cs="仿宋"/>
          <w:sz w:val="32"/>
          <w:szCs w:val="32"/>
        </w:rPr>
        <w:t>国家食品药品监督管理总局 农业部 国家卫生和计划生育委员会关于豆芽生产过程中禁止使用6-苄基腺嘌呤等物质的公告（2015 年第 11 号）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《豆芽卫生标准》（GB 22556）等标准。</w:t>
      </w:r>
    </w:p>
    <w:p>
      <w:pPr>
        <w:snapToGrid w:val="0"/>
        <w:spacing w:line="600" w:lineRule="exact"/>
        <w:ind w:firstLine="640" w:firstLineChars="200"/>
        <w:jc w:val="left"/>
        <w:rPr>
          <w:rFonts w:hint="eastAsia" w:ascii="楷体" w:hAnsi="楷体" w:eastAsia="楷体" w:cs="楷体"/>
          <w:bCs/>
          <w:sz w:val="32"/>
          <w:szCs w:val="32"/>
        </w:rPr>
      </w:pPr>
      <w:r>
        <w:rPr>
          <w:rFonts w:hint="eastAsia" w:ascii="楷体" w:hAnsi="楷体" w:eastAsia="楷体" w:cs="楷体"/>
          <w:bCs/>
          <w:sz w:val="32"/>
          <w:szCs w:val="32"/>
        </w:rPr>
        <w:t>（二）</w:t>
      </w:r>
      <w:r>
        <w:rPr>
          <w:rFonts w:hint="eastAsia" w:ascii="楷体" w:hAnsi="楷体" w:eastAsia="楷体" w:cs="楷体"/>
          <w:sz w:val="32"/>
          <w:szCs w:val="32"/>
        </w:rPr>
        <w:t>检验项目</w:t>
      </w:r>
    </w:p>
    <w:p>
      <w:pPr>
        <w:snapToGrid w:val="0"/>
        <w:spacing w:line="60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.豆芽抽检项目包括4-氯苯氧乙酸钠（以4-氯苯氧乙酸计）、6-苄基腺嘌呤（6-BA）、铅（以Pb计）、亚硫酸盐（以SO</w:t>
      </w:r>
      <w:r>
        <w:rPr>
          <w:rFonts w:hint="eastAsia" w:ascii="仿宋" w:hAnsi="仿宋" w:eastAsia="仿宋" w:cs="仿宋"/>
          <w:sz w:val="32"/>
          <w:szCs w:val="32"/>
          <w:vertAlign w:val="subscript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计）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snapToGrid w:val="0"/>
        <w:spacing w:line="60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.韭菜抽检项目包括镉（以Cd计）、腐霉利、毒死蜱、氧乐果、克百威、氯氟氰菊酯和高效氯氟氰菊酯、多菌灵、甲拌磷、氯氰菊酯和高效氯氰菊酯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snapToGrid w:val="0"/>
        <w:spacing w:line="60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.大白菜抽检项目包括氧乐果、啶虫脒、毒死蜱、甲拌磷、唑虫酰胺、镉（以Cd计）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snapToGrid w:val="0"/>
        <w:spacing w:line="60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.普通白菜抽检项目包括毒死蜱、氟虫腈、氧乐果、阿维菌素、克百威、甲胺磷、镉（以Cd计）、啶虫脒、灭多威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snapToGrid w:val="0"/>
        <w:spacing w:line="60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.芹菜抽检项目包括毒死蜱、克百威、甲拌磷、氧乐果、氯氟氰菊酯和高效氯氟氰菊酯、氟虫腈、水胺硫磷、镉（以Cd计）、敌敌畏、氯氰菊酯和高效氯氰菊酯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snapToGrid w:val="0"/>
        <w:spacing w:line="60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.油麦菜抽检项目包括氟虫腈、氧乐果、克百威、甲拌磷、水胺硫磷、阿维菌素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snapToGrid w:val="0"/>
        <w:spacing w:line="60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.茄子抽检项目包括镉（以Cd计）、氧乐果、克百威、甲氰菊酯、水胺硫磷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snapToGrid w:val="0"/>
        <w:spacing w:line="60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.辣椒抽检项目包括镉（以Cd计）、克百威、氧乐果、氟虫腈、水胺硫磷、啶虫脒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snapToGrid w:val="0"/>
        <w:spacing w:line="60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.莲藕抽检项目包括铅（以Pb计）、氧乐果、克百威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snapToGrid w:val="0"/>
        <w:spacing w:line="60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.柑、橘抽检项目包括丙溴磷、三唑磷、克百威、甲拌磷、水胺硫磷、氯氟氰菊酯和高效氯氟氰菊酯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snapToGrid w:val="0"/>
        <w:spacing w:line="60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11.菠菜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抽检项目包括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阿维菌素、毒死蜱、氟虫腈、氧乐果、克百威、氯氰菊酯和高效氯氰菊酯、镉（以Cd计）</w:t>
      </w:r>
    </w:p>
    <w:p>
      <w:pPr>
        <w:snapToGrid w:val="0"/>
        <w:spacing w:line="600" w:lineRule="exact"/>
        <w:ind w:firstLine="640" w:firstLineChars="20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12.油麦菜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抽检项目包括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氟虫腈、氧乐果、克百威、甲拌磷、水胺硫磷、阿维菌素</w:t>
      </w:r>
    </w:p>
    <w:p>
      <w:pPr>
        <w:snapToGrid w:val="0"/>
        <w:spacing w:line="60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13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.橙抽检项目包括丙溴磷、克百威、水胺硫磷、多菌灵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。</w:t>
      </w:r>
    </w:p>
    <w:p>
      <w:pPr>
        <w:snapToGrid w:val="0"/>
        <w:spacing w:line="60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14</w:t>
      </w:r>
      <w:r>
        <w:rPr>
          <w:rFonts w:hint="eastAsia" w:ascii="仿宋" w:hAnsi="仿宋" w:eastAsia="仿宋" w:cs="仿宋"/>
          <w:sz w:val="32"/>
          <w:szCs w:val="32"/>
        </w:rPr>
        <w:t>.香蕉抽检项目包括吡虫啉、腈苯唑、吡唑醚菌酯、氟虫腈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snapToGrid w:val="0"/>
        <w:spacing w:line="60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15.猕猴桃</w:t>
      </w:r>
      <w:r>
        <w:rPr>
          <w:rFonts w:hint="eastAsia" w:ascii="仿宋" w:hAnsi="仿宋" w:eastAsia="仿宋" w:cs="仿宋"/>
          <w:sz w:val="32"/>
          <w:szCs w:val="32"/>
        </w:rPr>
        <w:t>检项目包括敌敌畏、多菌灵、氯吡脲、氧乐果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snapToGrid w:val="0"/>
        <w:spacing w:line="60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16.</w:t>
      </w:r>
      <w:r>
        <w:rPr>
          <w:rFonts w:hint="eastAsia" w:ascii="仿宋" w:hAnsi="仿宋" w:eastAsia="仿宋" w:cs="仿宋"/>
          <w:sz w:val="32"/>
          <w:szCs w:val="32"/>
        </w:rPr>
        <w:t>淡水鱼抽检项目包括孔雀石绿、氯霉素、恩诺沙星（恩诺沙星与环丙沙星之和）、地西泮、呋喃唑酮代谢物、呋喃西林代谢物、五氯酚酸钠（以五氯酚计）、磺胺类（总量）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snapToGrid w:val="0"/>
        <w:spacing w:line="60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17.鸡肉</w:t>
      </w:r>
      <w:r>
        <w:rPr>
          <w:rFonts w:hint="eastAsia" w:ascii="仿宋" w:hAnsi="仿宋" w:eastAsia="仿宋" w:cs="仿宋"/>
          <w:sz w:val="32"/>
          <w:szCs w:val="32"/>
        </w:rPr>
        <w:t>抽检项目包括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恩诺沙星（恩诺沙星与环丙沙星之和）、磺胺类（总量）、甲氧苄啶、五氯酚酸钠（以五氯酚计）、呋喃唑酮代谢物、挥发性盐基氮、氯霉素、金刚烷胺、尼卡巴嗪、多西环素</w:t>
      </w:r>
    </w:p>
    <w:p>
      <w:pPr>
        <w:snapToGrid w:val="0"/>
        <w:spacing w:line="60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18.猪肝</w:t>
      </w:r>
      <w:r>
        <w:rPr>
          <w:rFonts w:hint="eastAsia" w:ascii="仿宋" w:hAnsi="仿宋" w:eastAsia="仿宋" w:cs="仿宋"/>
          <w:sz w:val="32"/>
          <w:szCs w:val="32"/>
        </w:rPr>
        <w:t>抽检项目包括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克伦特罗、五氯酚酸钠（以五氯酚计）、莱克多巴胺、沙丁胺醇、镉（以Cd计）、恩诺沙星（恩诺沙星与环丙沙星之和）、磺胺类（总量）</w:t>
      </w:r>
    </w:p>
    <w:p>
      <w:pPr>
        <w:snapToGrid w:val="0"/>
        <w:spacing w:line="60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19.牛肉</w:t>
      </w:r>
      <w:r>
        <w:rPr>
          <w:rFonts w:hint="eastAsia" w:ascii="仿宋" w:hAnsi="仿宋" w:eastAsia="仿宋" w:cs="仿宋"/>
          <w:sz w:val="32"/>
          <w:szCs w:val="32"/>
        </w:rPr>
        <w:t>抽检项目包括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克伦特罗、地塞米松、莱克多巴胺、呋喃唑酮代谢物、磺胺类（总量）、恩诺沙星（恩诺沙星与环丙沙星之和）、五氯酚酸钠(以五氯酚计)、呋喃西林代谢物</w:t>
      </w:r>
    </w:p>
    <w:p>
      <w:pPr>
        <w:snapToGrid w:val="0"/>
        <w:spacing w:line="600" w:lineRule="exact"/>
        <w:ind w:firstLine="640" w:firstLineChars="20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20.淡水虾</w:t>
      </w:r>
      <w:r>
        <w:rPr>
          <w:rFonts w:hint="eastAsia" w:ascii="仿宋" w:hAnsi="仿宋" w:eastAsia="仿宋" w:cs="仿宋"/>
          <w:sz w:val="32"/>
          <w:szCs w:val="32"/>
        </w:rPr>
        <w:t>抽检项目包括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恩诺沙星（恩诺沙星与环丙沙星之和）、镉（以Cd计）、孔雀石绿（孔雀石绿及其代谢物隐色孔雀石绿残留量之和，以孔雀石绿表示）、呋喃唑酮代谢物、呋喃妥因代谢物、土霉素/金霉素/四环素（组合含量）</w:t>
      </w:r>
    </w:p>
    <w:p>
      <w:pPr>
        <w:snapToGrid w:val="0"/>
        <w:spacing w:line="60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</w:p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modern"/>
    <w:pitch w:val="default"/>
    <w:sig w:usb0="E10002FF" w:usb1="4000FCFF" w:usb2="00000009" w:usb3="00000000" w:csb0="600001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04775428"/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3"/>
          <w:jc w:val="right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9 -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3565103"/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3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10 -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019ED6B"/>
    <w:multiLevelType w:val="singleLevel"/>
    <w:tmpl w:val="C019ED6B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08523F53"/>
    <w:multiLevelType w:val="singleLevel"/>
    <w:tmpl w:val="08523F5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49A91226"/>
    <w:multiLevelType w:val="singleLevel"/>
    <w:tmpl w:val="49A91226"/>
    <w:lvl w:ilvl="0" w:tentative="0">
      <w:start w:val="1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897B71"/>
    <w:rsid w:val="00000044"/>
    <w:rsid w:val="00027418"/>
    <w:rsid w:val="00186242"/>
    <w:rsid w:val="001D6961"/>
    <w:rsid w:val="00233414"/>
    <w:rsid w:val="00241E8C"/>
    <w:rsid w:val="002A0CD3"/>
    <w:rsid w:val="004D6BB7"/>
    <w:rsid w:val="005B243E"/>
    <w:rsid w:val="00635F6B"/>
    <w:rsid w:val="00725EC0"/>
    <w:rsid w:val="007D4A7F"/>
    <w:rsid w:val="008C7105"/>
    <w:rsid w:val="008E3F96"/>
    <w:rsid w:val="00A911DA"/>
    <w:rsid w:val="00B2599D"/>
    <w:rsid w:val="00C70718"/>
    <w:rsid w:val="00CE7A45"/>
    <w:rsid w:val="00D031D3"/>
    <w:rsid w:val="00F61591"/>
    <w:rsid w:val="022F54D5"/>
    <w:rsid w:val="02FE3237"/>
    <w:rsid w:val="044D4AE1"/>
    <w:rsid w:val="07A30EA1"/>
    <w:rsid w:val="07AB0B60"/>
    <w:rsid w:val="08544D25"/>
    <w:rsid w:val="0FED2935"/>
    <w:rsid w:val="17F66667"/>
    <w:rsid w:val="180B352D"/>
    <w:rsid w:val="181744A3"/>
    <w:rsid w:val="19D94E75"/>
    <w:rsid w:val="1A2E774E"/>
    <w:rsid w:val="1A614645"/>
    <w:rsid w:val="1AF03356"/>
    <w:rsid w:val="1F7E6E20"/>
    <w:rsid w:val="1FF34898"/>
    <w:rsid w:val="2142612C"/>
    <w:rsid w:val="22A23A4F"/>
    <w:rsid w:val="23000B2D"/>
    <w:rsid w:val="24DA4118"/>
    <w:rsid w:val="254635C7"/>
    <w:rsid w:val="2B6D4DC7"/>
    <w:rsid w:val="2DD815E9"/>
    <w:rsid w:val="30B57EE3"/>
    <w:rsid w:val="3121348B"/>
    <w:rsid w:val="31421AD7"/>
    <w:rsid w:val="3E511BFF"/>
    <w:rsid w:val="3E5C11DD"/>
    <w:rsid w:val="3F353336"/>
    <w:rsid w:val="45365908"/>
    <w:rsid w:val="49A709C3"/>
    <w:rsid w:val="4C1C4D08"/>
    <w:rsid w:val="518A022B"/>
    <w:rsid w:val="566214A4"/>
    <w:rsid w:val="57CB5DFF"/>
    <w:rsid w:val="587C6701"/>
    <w:rsid w:val="59A53592"/>
    <w:rsid w:val="59B9057B"/>
    <w:rsid w:val="5B4A0A5B"/>
    <w:rsid w:val="5C5428EA"/>
    <w:rsid w:val="5D35137E"/>
    <w:rsid w:val="5E8159BB"/>
    <w:rsid w:val="613321CF"/>
    <w:rsid w:val="626243B5"/>
    <w:rsid w:val="631C3C77"/>
    <w:rsid w:val="64C74244"/>
    <w:rsid w:val="684745C2"/>
    <w:rsid w:val="69897B71"/>
    <w:rsid w:val="69C0222C"/>
    <w:rsid w:val="6BF677A9"/>
    <w:rsid w:val="709525BB"/>
    <w:rsid w:val="724C2B0A"/>
    <w:rsid w:val="78554A08"/>
    <w:rsid w:val="7D9E36D8"/>
    <w:rsid w:val="7DB5346B"/>
    <w:rsid w:val="7F5B6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300" w:after="150" w:line="17" w:lineRule="atLeast"/>
      <w:jc w:val="left"/>
      <w:outlineLvl w:val="2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qFormat/>
    <w:uiPriority w:val="0"/>
    <w:rPr>
      <w:color w:val="337AB7"/>
      <w:u w:val="none"/>
    </w:rPr>
  </w:style>
  <w:style w:type="character" w:styleId="9">
    <w:name w:val="HTML Definition"/>
    <w:basedOn w:val="6"/>
    <w:qFormat/>
    <w:uiPriority w:val="0"/>
    <w:rPr>
      <w:i/>
    </w:rPr>
  </w:style>
  <w:style w:type="character" w:styleId="10">
    <w:name w:val="Hyperlink"/>
    <w:basedOn w:val="6"/>
    <w:qFormat/>
    <w:uiPriority w:val="0"/>
    <w:rPr>
      <w:color w:val="337AB7"/>
      <w:u w:val="none"/>
    </w:rPr>
  </w:style>
  <w:style w:type="character" w:styleId="11">
    <w:name w:val="HTML Code"/>
    <w:basedOn w:val="6"/>
    <w:qFormat/>
    <w:uiPriority w:val="0"/>
    <w:rPr>
      <w:rFonts w:hint="default" w:ascii="Consolas" w:hAnsi="Consolas" w:eastAsia="Consolas" w:cs="Consolas"/>
      <w:color w:val="C7254E"/>
      <w:sz w:val="21"/>
      <w:szCs w:val="21"/>
      <w:shd w:val="clear" w:color="auto" w:fill="F9F2F4"/>
    </w:rPr>
  </w:style>
  <w:style w:type="character" w:styleId="12">
    <w:name w:val="HTML Keyboard"/>
    <w:basedOn w:val="6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color="auto" w:fill="333333"/>
    </w:rPr>
  </w:style>
  <w:style w:type="character" w:styleId="13">
    <w:name w:val="HTML Sample"/>
    <w:basedOn w:val="6"/>
    <w:qFormat/>
    <w:uiPriority w:val="0"/>
    <w:rPr>
      <w:rFonts w:ascii="Consolas" w:hAnsi="Consolas" w:eastAsia="Consolas" w:cs="Consolas"/>
      <w:sz w:val="21"/>
      <w:szCs w:val="21"/>
    </w:rPr>
  </w:style>
  <w:style w:type="character" w:customStyle="1" w:styleId="14">
    <w:name w:val="页眉 字符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字符"/>
    <w:basedOn w:val="6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682</Words>
  <Characters>3893</Characters>
  <Lines>32</Lines>
  <Paragraphs>9</Paragraphs>
  <TotalTime>2</TotalTime>
  <ScaleCrop>false</ScaleCrop>
  <LinksUpToDate>false</LinksUpToDate>
  <CharactersWithSpaces>4566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2019-06-20T09:19:00Z</dcterms:created>
  <dc:creator>Administrator</dc:creator>
  <cp:lastModifiedBy>Administrator</cp:lastModifiedBy>
  <dcterms:modified xsi:type="dcterms:W3CDTF">2021-10-12T07:33:57Z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F2FE30EA5C1D43F8A5F1000B52539965</vt:lpwstr>
  </property>
</Properties>
</file>