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附件1</w:t>
      </w:r>
    </w:p>
    <w:p>
      <w:pPr>
        <w:spacing w:line="594" w:lineRule="exact"/>
        <w:ind w:firstLine="880" w:firstLineChars="200"/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部分不合格检验项目小知识</w:t>
      </w:r>
    </w:p>
    <w:p>
      <w:pPr>
        <w:spacing w:line="594" w:lineRule="exact"/>
        <w:contextualSpacing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spacing w:line="594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一、菌落总数</w:t>
      </w:r>
    </w:p>
    <w:p>
      <w:pPr>
        <w:pStyle w:val="15"/>
        <w:spacing w:line="594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《食品安全国家标准 熟肉制品》（GB 2726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2016）中规定，熟肉制品（除发酵肉制品外）同一批次产品5个样品的菌落总数检测结果均不得超过10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/>
          <w:sz w:val="32"/>
          <w:szCs w:val="32"/>
        </w:rPr>
        <w:t>CFU/g，且最多允许2个样品的检测结果超过10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/>
          <w:sz w:val="32"/>
          <w:szCs w:val="32"/>
        </w:rPr>
        <w:t>CFU/g。酱卤肉制品中菌落总数超标的原因，可能是企业未按要求严格控制生产加工过程的卫生条件，也可能与产品包装密封不严或储运条件不当等有关。</w:t>
      </w: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、恩诺沙星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第三代喹诺酮类药物，是一类人工合成的广谱抗菌药，用于治疗动物的皮肤感染、呼吸道感染等，是动物专属用药。长期食用恩诺沙星残留超标的食品，可能在人体中蓄积，进而对人体机能产生危害，还可能使人体产生耐药性菌株。《食品安全国家标准 食品中兽药最大残留限量》（GB 31650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2019）中规定，恩诺沙星在家禽的产蛋期禁用（在禽蛋中不得检出）。鸡蛋中检出恩诺沙星的原因，可能是违规用药治疗蛋鸡疾病导致恩诺沙星在其体内残留，进而传递至鸡蛋中。</w:t>
      </w: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三、甲拌磷</w:t>
      </w: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拌磷是一种高毒广谱的内吸性有机磷类杀虫剂，具有触杀、胃毒、熏蒸作用，对刺吸式口器和咀嚼式口器害虫均具有很好的防治作用。少量的残留不会引起人体急性中毒，但长期食用甲拌磷超标的食品，对人体健康可能有一定影响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食品中农药最大残留限量》（GB 2763—2019）中规定，</w:t>
      </w:r>
      <w:r>
        <w:rPr>
          <w:rFonts w:hint="eastAsia" w:ascii="仿宋_GB2312" w:eastAsia="仿宋_GB2312"/>
          <w:sz w:val="32"/>
          <w:szCs w:val="32"/>
        </w:rPr>
        <w:t>甲拌磷</w:t>
      </w:r>
      <w:r>
        <w:rPr>
          <w:rFonts w:hint="eastAsia" w:ascii="Times New Roman" w:hAnsi="Times New Roman" w:eastAsia="仿宋_GB2312"/>
          <w:sz w:val="32"/>
          <w:szCs w:val="32"/>
        </w:rPr>
        <w:t>在叶菜类蔬菜中的最大残留限量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值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 w:cs="仿宋_GB2312"/>
          <w:sz w:val="32"/>
          <w:szCs w:val="32"/>
        </w:rPr>
        <w:t>0.</w:t>
      </w:r>
      <w:r>
        <w:rPr>
          <w:rFonts w:hint="eastAsia" w:ascii="Times New Roman" w:hAnsi="Times New Roman" w:eastAsia="仿宋_GB2312" w:cs="仿宋_GB2312"/>
          <w:sz w:val="32"/>
          <w:szCs w:val="32"/>
        </w:rPr>
        <w:t>0</w:t>
      </w:r>
      <w:r>
        <w:rPr>
          <w:rFonts w:ascii="Times New Roman" w:hAnsi="Times New Roman" w:eastAsia="仿宋_GB2312" w:cs="仿宋_GB2312"/>
          <w:sz w:val="32"/>
          <w:szCs w:val="32"/>
        </w:rPr>
        <w:t>1mg/kg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芹菜中甲拌磷</w:t>
      </w:r>
      <w:r>
        <w:rPr>
          <w:rFonts w:hint="eastAsia" w:ascii="Times New Roman" w:hAnsi="Times New Roman" w:eastAsia="仿宋_GB2312"/>
          <w:sz w:val="32"/>
          <w:szCs w:val="32"/>
        </w:rPr>
        <w:t>残留量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超标的原因，</w:t>
      </w:r>
      <w:r>
        <w:rPr>
          <w:rFonts w:hint="eastAsia" w:ascii="Times New Roman" w:hAnsi="Times New Roman" w:eastAsia="仿宋_GB2312"/>
          <w:sz w:val="32"/>
          <w:szCs w:val="32"/>
        </w:rPr>
        <w:t>可能是为</w:t>
      </w:r>
      <w:r>
        <w:rPr>
          <w:rFonts w:ascii="Times New Roman" w:hAnsi="Times New Roman" w:eastAsia="仿宋_GB2312"/>
          <w:sz w:val="32"/>
          <w:szCs w:val="32"/>
        </w:rPr>
        <w:t>快速控制</w:t>
      </w:r>
      <w:r>
        <w:rPr>
          <w:rFonts w:hint="eastAsia" w:ascii="Times New Roman" w:hAnsi="Times New Roman" w:eastAsia="仿宋_GB2312"/>
          <w:sz w:val="32"/>
          <w:szCs w:val="32"/>
        </w:rPr>
        <w:t>虫害而违规使用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四、噻虫胺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噻虫胺属新烟碱类杀虫剂，具有内吸性、触杀和胃毒作用，</w:t>
      </w:r>
      <w:r>
        <w:rPr>
          <w:rFonts w:ascii="Times New Roman" w:hAnsi="Times New Roman" w:eastAsia="仿宋_GB2312"/>
          <w:sz w:val="32"/>
          <w:szCs w:val="32"/>
        </w:rPr>
        <w:t>对</w:t>
      </w:r>
      <w:r>
        <w:rPr>
          <w:rFonts w:hint="eastAsia" w:ascii="Times New Roman" w:hAnsi="Times New Roman" w:eastAsia="仿宋_GB2312"/>
          <w:sz w:val="32"/>
          <w:szCs w:val="32"/>
        </w:rPr>
        <w:t>姜蛆等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有较好防效</w:t>
      </w:r>
      <w:r>
        <w:rPr>
          <w:rFonts w:hint="eastAsia" w:ascii="Times New Roman" w:hAnsi="Times New Roman" w:eastAsia="仿宋_GB2312"/>
          <w:sz w:val="32"/>
          <w:szCs w:val="32"/>
        </w:rPr>
        <w:t>。少量的残留不会引起人体急性中毒，但长期食用噻虫胺超标的食品，对人体健康可能有一定影响。</w:t>
      </w:r>
      <w:r>
        <w:rPr>
          <w:rFonts w:ascii="Times New Roman" w:hAnsi="Times New Roman" w:eastAsia="仿宋_GB2312"/>
          <w:sz w:val="32"/>
          <w:szCs w:val="32"/>
        </w:rPr>
        <w:t>《食品安全国家标准 食品中农药最大残留限量》（GB 2763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2019）中规定，</w:t>
      </w:r>
      <w:r>
        <w:rPr>
          <w:rFonts w:hint="eastAsia" w:ascii="Times New Roman" w:hAnsi="Times New Roman" w:eastAsia="仿宋_GB2312"/>
          <w:sz w:val="32"/>
          <w:szCs w:val="32"/>
        </w:rPr>
        <w:t>噻虫胺在根茎类蔬菜中</w:t>
      </w:r>
      <w:r>
        <w:rPr>
          <w:rFonts w:ascii="Times New Roman" w:hAnsi="Times New Roman" w:eastAsia="仿宋_GB2312"/>
          <w:sz w:val="32"/>
          <w:szCs w:val="32"/>
        </w:rPr>
        <w:t>的最大残留限量</w:t>
      </w:r>
      <w:r>
        <w:rPr>
          <w:rFonts w:hint="eastAsia" w:ascii="Times New Roman" w:hAnsi="Times New Roman" w:eastAsia="仿宋_GB2312"/>
          <w:sz w:val="32"/>
          <w:szCs w:val="32"/>
        </w:rPr>
        <w:t>值</w:t>
      </w:r>
      <w:r>
        <w:rPr>
          <w:rFonts w:ascii="Times New Roman" w:hAnsi="Times New Roman" w:eastAsia="仿宋_GB2312"/>
          <w:sz w:val="32"/>
          <w:szCs w:val="32"/>
        </w:rPr>
        <w:t>为0.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mg/kg。</w:t>
      </w:r>
      <w:r>
        <w:rPr>
          <w:rFonts w:hint="eastAsia" w:ascii="Times New Roman" w:hAnsi="Times New Roman" w:eastAsia="仿宋_GB2312"/>
          <w:sz w:val="32"/>
          <w:szCs w:val="32"/>
        </w:rPr>
        <w:t>姜</w:t>
      </w:r>
      <w:r>
        <w:rPr>
          <w:rFonts w:ascii="Times New Roman" w:hAnsi="Times New Roman" w:eastAsia="仿宋_GB2312"/>
          <w:sz w:val="32"/>
          <w:szCs w:val="32"/>
        </w:rPr>
        <w:t>中</w:t>
      </w:r>
      <w:r>
        <w:rPr>
          <w:rFonts w:hint="eastAsia" w:ascii="Times New Roman" w:hAnsi="Times New Roman" w:eastAsia="仿宋_GB2312"/>
          <w:sz w:val="32"/>
          <w:szCs w:val="32"/>
        </w:rPr>
        <w:t>噻虫胺残留量</w:t>
      </w:r>
      <w:r>
        <w:rPr>
          <w:rFonts w:ascii="Times New Roman" w:hAnsi="Times New Roman" w:eastAsia="仿宋_GB2312"/>
          <w:sz w:val="32"/>
          <w:szCs w:val="32"/>
        </w:rPr>
        <w:t>超标</w:t>
      </w:r>
      <w:r>
        <w:rPr>
          <w:rFonts w:hint="eastAsia" w:ascii="Times New Roman" w:hAnsi="Times New Roman" w:eastAsia="仿宋_GB2312"/>
          <w:sz w:val="32"/>
          <w:szCs w:val="32"/>
        </w:rPr>
        <w:t>的原因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可能是为</w:t>
      </w:r>
      <w:r>
        <w:rPr>
          <w:rFonts w:ascii="Times New Roman" w:hAnsi="Times New Roman" w:eastAsia="仿宋_GB2312"/>
          <w:sz w:val="32"/>
          <w:szCs w:val="32"/>
        </w:rPr>
        <w:t>快速控制</w:t>
      </w:r>
      <w:r>
        <w:rPr>
          <w:rFonts w:hint="eastAsia" w:ascii="Times New Roman" w:hAnsi="Times New Roman" w:eastAsia="仿宋_GB2312"/>
          <w:sz w:val="32"/>
          <w:szCs w:val="32"/>
        </w:rPr>
        <w:t>虫害，</w:t>
      </w:r>
      <w:r>
        <w:rPr>
          <w:rFonts w:ascii="Times New Roman" w:hAnsi="Times New Roman" w:eastAsia="仿宋_GB2312"/>
          <w:sz w:val="32"/>
          <w:szCs w:val="32"/>
        </w:rPr>
        <w:t>加大用药量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未遵守采摘间隔期</w:t>
      </w:r>
      <w:r>
        <w:rPr>
          <w:rFonts w:hint="eastAsia" w:ascii="Times New Roman" w:hAnsi="Times New Roman" w:eastAsia="仿宋_GB2312"/>
          <w:sz w:val="32"/>
          <w:szCs w:val="32"/>
        </w:rPr>
        <w:t>规定</w:t>
      </w:r>
      <w:r>
        <w:rPr>
          <w:rFonts w:ascii="Times New Roman" w:hAnsi="Times New Roman" w:eastAsia="仿宋_GB2312"/>
          <w:sz w:val="32"/>
          <w:szCs w:val="32"/>
        </w:rPr>
        <w:t>，致使上市销售</w:t>
      </w:r>
      <w:r>
        <w:rPr>
          <w:rFonts w:hint="eastAsia" w:ascii="Times New Roman" w:hAnsi="Times New Roman" w:eastAsia="仿宋_GB2312"/>
          <w:sz w:val="32"/>
          <w:szCs w:val="32"/>
        </w:rPr>
        <w:t>的产品中残留量超标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五、铅（以</w:t>
      </w:r>
      <w:r>
        <w:rPr>
          <w:rFonts w:ascii="Times New Roman" w:hAnsi="Times New Roman" w:eastAsia="黑体" w:cs="Times New Roman"/>
          <w:sz w:val="32"/>
          <w:szCs w:val="32"/>
        </w:rPr>
        <w:t>Pb</w:t>
      </w:r>
      <w:r>
        <w:rPr>
          <w:rFonts w:hint="eastAsia" w:ascii="黑体" w:hAnsi="黑体" w:eastAsia="黑体"/>
          <w:sz w:val="32"/>
          <w:szCs w:val="32"/>
        </w:rPr>
        <w:t>计）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铅是一种常见的重金属元素污染物，会严重危害人体健康。长期食用铅超标的食品，可能会对人体的血液系统、神经系统产生损害，尤其对儿童生长和智力发育的影响较大。</w:t>
      </w:r>
      <w:r>
        <w:rPr>
          <w:rFonts w:hint="eastAsia" w:ascii="仿宋_GB2312" w:hAnsi="仿宋_GB2312" w:eastAsia="仿宋_GB2312" w:cs="Times New Roman"/>
          <w:sz w:val="32"/>
          <w:szCs w:val="32"/>
        </w:rPr>
        <w:t>《脱水蔬菜 叶菜类》（</w:t>
      </w:r>
      <w:r>
        <w:rPr>
          <w:rFonts w:ascii="Times New Roman" w:hAnsi="Times New Roman" w:eastAsia="仿宋_GB2312" w:cs="Times New Roman"/>
          <w:sz w:val="32"/>
          <w:szCs w:val="32"/>
        </w:rPr>
        <w:t>NY/T 960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2006</w:t>
      </w:r>
      <w:r>
        <w:rPr>
          <w:rFonts w:hint="eastAsia" w:ascii="仿宋_GB2312" w:hAnsi="仿宋_GB2312" w:eastAsia="仿宋_GB2312" w:cs="Times New Roman"/>
          <w:sz w:val="32"/>
          <w:szCs w:val="32"/>
        </w:rPr>
        <w:t>）中规定，铅（以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仿宋_GB2312" w:hAnsi="仿宋_GB2312" w:eastAsia="仿宋_GB2312" w:cs="Times New Roman"/>
          <w:sz w:val="32"/>
          <w:szCs w:val="32"/>
        </w:rPr>
        <w:t>计）最大限量值为</w:t>
      </w:r>
      <w:r>
        <w:rPr>
          <w:rFonts w:ascii="Times New Roman" w:hAnsi="Times New Roman" w:eastAsia="仿宋_GB2312" w:cs="Times New Roman"/>
          <w:sz w:val="32"/>
          <w:szCs w:val="32"/>
        </w:rPr>
        <w:t>0.2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mg/kg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Times New Roman"/>
          <w:sz w:val="32"/>
          <w:szCs w:val="32"/>
        </w:rPr>
        <w:t>蔬菜干制品</w:t>
      </w:r>
      <w:r>
        <w:rPr>
          <w:rFonts w:hint="eastAsia" w:ascii="Times New Roman" w:hAnsi="Times New Roman" w:eastAsia="仿宋_GB2312"/>
          <w:sz w:val="32"/>
          <w:szCs w:val="32"/>
        </w:rPr>
        <w:t>中</w:t>
      </w:r>
      <w:r>
        <w:rPr>
          <w:rFonts w:hint="eastAsia" w:ascii="仿宋_GB2312" w:eastAsia="仿宋_GB2312"/>
          <w:sz w:val="32"/>
          <w:szCs w:val="32"/>
        </w:rPr>
        <w:t>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计）检测值</w:t>
      </w:r>
      <w:r>
        <w:rPr>
          <w:rFonts w:hint="eastAsia" w:ascii="Times New Roman" w:hAnsi="Times New Roman" w:eastAsia="仿宋_GB2312"/>
          <w:sz w:val="32"/>
          <w:szCs w:val="32"/>
        </w:rPr>
        <w:t>超标的原因，可能是生产企业使用的蔬菜原料中铅含量超标，也可能是生产设备或包装材料中的铅迁移带入。</w:t>
      </w:r>
    </w:p>
    <w:p>
      <w:pPr>
        <w:spacing w:line="594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</w:t>
      </w:r>
      <w:r>
        <w:rPr>
          <w:rFonts w:hint="eastAsia" w:ascii="黑体" w:hAnsi="黑体" w:eastAsia="黑体"/>
          <w:sz w:val="32"/>
          <w:szCs w:val="32"/>
        </w:rPr>
        <w:t>过氧化值（以脂肪计）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过氧化值是油脂酸败的早期指标，主要反映油脂被氧化的程度。食用过氧化值超标的食品一般不会对人体健康造成损害，但长期食用过氧化值严重超标的食品可能导致肠胃不适、腹泻等。《食品安全国家标准 糕点、面包》（GB 7099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2015）中规定，糕点中过氧化值（以脂肪计）的最大限量值为0.25g/100g。糕点中过氧化值（以脂肪计）检测值超标的原因，可能是原料中的脂肪已经被氧化，也可能与产品在储运过程中环境条件控制不当等有关。</w:t>
      </w:r>
    </w:p>
    <w:p>
      <w:pPr>
        <w:pStyle w:val="2"/>
        <w:spacing w:after="0" w:line="594" w:lineRule="exact"/>
        <w:ind w:firstLine="64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revisionView w:markup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3B7"/>
    <w:rsid w:val="00016756"/>
    <w:rsid w:val="00040E43"/>
    <w:rsid w:val="00041622"/>
    <w:rsid w:val="00050572"/>
    <w:rsid w:val="000645E1"/>
    <w:rsid w:val="000A3DF4"/>
    <w:rsid w:val="000D699E"/>
    <w:rsid w:val="000F109C"/>
    <w:rsid w:val="000F7B2E"/>
    <w:rsid w:val="001039DB"/>
    <w:rsid w:val="00104A2A"/>
    <w:rsid w:val="0015460D"/>
    <w:rsid w:val="00155C55"/>
    <w:rsid w:val="00165D84"/>
    <w:rsid w:val="00180319"/>
    <w:rsid w:val="001B5B07"/>
    <w:rsid w:val="001B5DF9"/>
    <w:rsid w:val="001D31C1"/>
    <w:rsid w:val="001F7573"/>
    <w:rsid w:val="0021610C"/>
    <w:rsid w:val="00233EB3"/>
    <w:rsid w:val="00241307"/>
    <w:rsid w:val="00275035"/>
    <w:rsid w:val="002807A1"/>
    <w:rsid w:val="002A092C"/>
    <w:rsid w:val="002A61B4"/>
    <w:rsid w:val="002C4138"/>
    <w:rsid w:val="002C6445"/>
    <w:rsid w:val="00310DD8"/>
    <w:rsid w:val="00344A10"/>
    <w:rsid w:val="003A1921"/>
    <w:rsid w:val="003A360C"/>
    <w:rsid w:val="003B6A75"/>
    <w:rsid w:val="003B6E9A"/>
    <w:rsid w:val="003D7143"/>
    <w:rsid w:val="004014D9"/>
    <w:rsid w:val="004167D1"/>
    <w:rsid w:val="00416AC4"/>
    <w:rsid w:val="0044071E"/>
    <w:rsid w:val="004604E1"/>
    <w:rsid w:val="00474FB4"/>
    <w:rsid w:val="00495202"/>
    <w:rsid w:val="00497D10"/>
    <w:rsid w:val="004B7CBD"/>
    <w:rsid w:val="004C4BE7"/>
    <w:rsid w:val="004D165D"/>
    <w:rsid w:val="00501A15"/>
    <w:rsid w:val="00546D4D"/>
    <w:rsid w:val="00547CC3"/>
    <w:rsid w:val="00581CA2"/>
    <w:rsid w:val="005955ED"/>
    <w:rsid w:val="005F4E30"/>
    <w:rsid w:val="00640A74"/>
    <w:rsid w:val="00654845"/>
    <w:rsid w:val="00654C6B"/>
    <w:rsid w:val="006647B5"/>
    <w:rsid w:val="00676FC7"/>
    <w:rsid w:val="006A16A5"/>
    <w:rsid w:val="006F2069"/>
    <w:rsid w:val="006F53A0"/>
    <w:rsid w:val="00700EA9"/>
    <w:rsid w:val="00710782"/>
    <w:rsid w:val="00721F3B"/>
    <w:rsid w:val="00734C6D"/>
    <w:rsid w:val="007443F9"/>
    <w:rsid w:val="007641F8"/>
    <w:rsid w:val="00775F50"/>
    <w:rsid w:val="007A2EF2"/>
    <w:rsid w:val="007A347E"/>
    <w:rsid w:val="007B05FC"/>
    <w:rsid w:val="007D296C"/>
    <w:rsid w:val="007D54E3"/>
    <w:rsid w:val="007E733C"/>
    <w:rsid w:val="007F3B23"/>
    <w:rsid w:val="00833C54"/>
    <w:rsid w:val="00866388"/>
    <w:rsid w:val="00884E99"/>
    <w:rsid w:val="008C60B8"/>
    <w:rsid w:val="008E770D"/>
    <w:rsid w:val="00904C59"/>
    <w:rsid w:val="00906E93"/>
    <w:rsid w:val="00913736"/>
    <w:rsid w:val="00953F6D"/>
    <w:rsid w:val="00992676"/>
    <w:rsid w:val="0099439D"/>
    <w:rsid w:val="009B5EB6"/>
    <w:rsid w:val="009E3E3E"/>
    <w:rsid w:val="009F00FA"/>
    <w:rsid w:val="00A13DCE"/>
    <w:rsid w:val="00A13E86"/>
    <w:rsid w:val="00A663B7"/>
    <w:rsid w:val="00A74575"/>
    <w:rsid w:val="00A80879"/>
    <w:rsid w:val="00AB5DA4"/>
    <w:rsid w:val="00AF30AA"/>
    <w:rsid w:val="00B17DCC"/>
    <w:rsid w:val="00B304B9"/>
    <w:rsid w:val="00B4593E"/>
    <w:rsid w:val="00B519F6"/>
    <w:rsid w:val="00B53B8C"/>
    <w:rsid w:val="00B6725E"/>
    <w:rsid w:val="00B7512C"/>
    <w:rsid w:val="00B753C7"/>
    <w:rsid w:val="00BA2CD0"/>
    <w:rsid w:val="00BB3A0C"/>
    <w:rsid w:val="00BD5B62"/>
    <w:rsid w:val="00BE5A25"/>
    <w:rsid w:val="00C17343"/>
    <w:rsid w:val="00C230DD"/>
    <w:rsid w:val="00C23294"/>
    <w:rsid w:val="00C23F91"/>
    <w:rsid w:val="00C62F82"/>
    <w:rsid w:val="00CF2E02"/>
    <w:rsid w:val="00D004EC"/>
    <w:rsid w:val="00D40ACA"/>
    <w:rsid w:val="00D44B10"/>
    <w:rsid w:val="00D5205B"/>
    <w:rsid w:val="00DB3877"/>
    <w:rsid w:val="00DB64D7"/>
    <w:rsid w:val="00DC5233"/>
    <w:rsid w:val="00E05F13"/>
    <w:rsid w:val="00E3441E"/>
    <w:rsid w:val="00E46D3A"/>
    <w:rsid w:val="00E47533"/>
    <w:rsid w:val="00E50107"/>
    <w:rsid w:val="00E5597A"/>
    <w:rsid w:val="00E71EF5"/>
    <w:rsid w:val="00E7461B"/>
    <w:rsid w:val="00E759D8"/>
    <w:rsid w:val="00EA7D94"/>
    <w:rsid w:val="00F253DF"/>
    <w:rsid w:val="00F30536"/>
    <w:rsid w:val="00F666D4"/>
    <w:rsid w:val="00F8028E"/>
    <w:rsid w:val="00FC091B"/>
    <w:rsid w:val="00FC6DE3"/>
    <w:rsid w:val="1B241E81"/>
    <w:rsid w:val="36CD464D"/>
    <w:rsid w:val="3D305B42"/>
    <w:rsid w:val="477A7874"/>
    <w:rsid w:val="4E0926F3"/>
    <w:rsid w:val="505F4DCA"/>
    <w:rsid w:val="53DE244F"/>
    <w:rsid w:val="5C0675EB"/>
    <w:rsid w:val="6A867861"/>
    <w:rsid w:val="6E7767A1"/>
    <w:rsid w:val="7CF01A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link w:val="10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正文文本缩进 字符"/>
    <w:basedOn w:val="9"/>
    <w:link w:val="3"/>
    <w:semiHidden/>
    <w:qFormat/>
    <w:uiPriority w:val="99"/>
  </w:style>
  <w:style w:type="character" w:customStyle="1" w:styleId="11">
    <w:name w:val="正文文本首行缩进 2 字符"/>
    <w:basedOn w:val="10"/>
    <w:link w:val="2"/>
    <w:qFormat/>
    <w:uiPriority w:val="0"/>
    <w:rPr>
      <w:rFonts w:ascii="Calibri" w:hAnsi="Calibri" w:eastAsia="仿宋" w:cs="Times New Roman"/>
      <w:sz w:val="32"/>
    </w:rPr>
  </w:style>
  <w:style w:type="character" w:customStyle="1" w:styleId="12">
    <w:name w:val="批注框文本 字符"/>
    <w:basedOn w:val="9"/>
    <w:link w:val="4"/>
    <w:semiHidden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眉 字符"/>
    <w:basedOn w:val="9"/>
    <w:link w:val="6"/>
    <w:qFormat/>
    <w:uiPriority w:val="99"/>
    <w:rPr>
      <w:sz w:val="18"/>
      <w:szCs w:val="18"/>
    </w:rPr>
  </w:style>
  <w:style w:type="paragraph" w:customStyle="1" w:styleId="15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5</Pages>
  <Words>351</Words>
  <Characters>2001</Characters>
  <Lines>16</Lines>
  <Paragraphs>4</Paragraphs>
  <TotalTime>114</TotalTime>
  <ScaleCrop>false</ScaleCrop>
  <LinksUpToDate>false</LinksUpToDate>
  <CharactersWithSpaces>2348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2021-05-28T06:03:00Z</dcterms:created>
  <dc:creator>秘书处</dc:creator>
  <cp:lastModifiedBy>赵爽</cp:lastModifiedBy>
  <dcterms:modified xsi:type="dcterms:W3CDTF">2021-09-22T10:34:59Z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