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5C" w:rsidRPr="00100AEA" w:rsidRDefault="00D277CA">
      <w:pPr>
        <w:autoSpaceDE w:val="0"/>
        <w:autoSpaceDN w:val="0"/>
        <w:spacing w:line="576" w:lineRule="exact"/>
        <w:jc w:val="left"/>
        <w:rPr>
          <w:rFonts w:ascii="Times New Roman" w:eastAsia="方正黑体_GBK" w:hAnsi="Times New Roman" w:cs="宋体"/>
          <w:kern w:val="0"/>
          <w:sz w:val="32"/>
          <w:szCs w:val="32"/>
        </w:rPr>
      </w:pPr>
      <w:r w:rsidRPr="00100AEA">
        <w:rPr>
          <w:rFonts w:ascii="Times New Roman" w:eastAsia="方正黑体_GBK" w:hAnsi="Times New Roman" w:cs="宋体" w:hint="eastAsia"/>
          <w:kern w:val="0"/>
          <w:sz w:val="32"/>
          <w:szCs w:val="32"/>
        </w:rPr>
        <w:t>市市场监管局发布</w:t>
      </w:r>
    </w:p>
    <w:p w:rsidR="0083305C" w:rsidRPr="00100AEA" w:rsidRDefault="0083305C">
      <w:pPr>
        <w:autoSpaceDE w:val="0"/>
        <w:autoSpaceDN w:val="0"/>
        <w:spacing w:line="576" w:lineRule="exact"/>
        <w:jc w:val="center"/>
        <w:rPr>
          <w:rFonts w:ascii="Times New Roman" w:eastAsia="方正小标宋_GBK" w:hAnsi="Times New Roman" w:cs="宋体"/>
          <w:kern w:val="0"/>
          <w:sz w:val="44"/>
          <w:szCs w:val="44"/>
        </w:rPr>
      </w:pPr>
    </w:p>
    <w:p w:rsidR="0083305C" w:rsidRPr="00100AEA" w:rsidRDefault="00D277CA">
      <w:pPr>
        <w:autoSpaceDE w:val="0"/>
        <w:autoSpaceDN w:val="0"/>
        <w:spacing w:line="576" w:lineRule="exact"/>
        <w:jc w:val="center"/>
        <w:rPr>
          <w:rFonts w:ascii="Times New Roman" w:hAnsi="Times New Roman" w:cs="宋体"/>
          <w:kern w:val="0"/>
          <w:sz w:val="44"/>
          <w:szCs w:val="44"/>
        </w:rPr>
      </w:pPr>
      <w:r w:rsidRPr="00100AEA">
        <w:rPr>
          <w:rFonts w:ascii="Times New Roman" w:eastAsia="方正小标宋_GBK" w:hAnsi="Times New Roman" w:cs="宋体" w:hint="eastAsia"/>
          <w:kern w:val="0"/>
          <w:sz w:val="44"/>
          <w:szCs w:val="44"/>
        </w:rPr>
        <w:t>车用柴油产品质量监督抽查分析报告</w:t>
      </w:r>
    </w:p>
    <w:p w:rsidR="0083305C" w:rsidRPr="00100AEA" w:rsidRDefault="0083305C">
      <w:pPr>
        <w:spacing w:line="700" w:lineRule="exact"/>
        <w:rPr>
          <w:rFonts w:ascii="Times New Roman" w:eastAsia="黑体" w:hAnsi="Times New Roman" w:cs="黑体"/>
          <w:sz w:val="30"/>
          <w:szCs w:val="30"/>
        </w:rPr>
      </w:pPr>
    </w:p>
    <w:p w:rsidR="0083305C" w:rsidRPr="00100AEA" w:rsidRDefault="00D277CA">
      <w:pPr>
        <w:spacing w:line="576" w:lineRule="exact"/>
        <w:ind w:firstLine="560"/>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2021</w:t>
      </w:r>
      <w:r w:rsidRPr="00100AEA">
        <w:rPr>
          <w:rFonts w:ascii="Times New Roman" w:eastAsia="方正仿宋_GBK" w:hAnsi="Times New Roman" w:cs="宋体" w:hint="eastAsia"/>
          <w:sz w:val="32"/>
          <w:szCs w:val="32"/>
        </w:rPr>
        <w:t>年</w:t>
      </w:r>
      <w:r w:rsidRPr="00100AEA">
        <w:rPr>
          <w:rFonts w:ascii="Times New Roman" w:eastAsia="方正仿宋_GBK" w:hAnsi="Times New Roman" w:cs="宋体" w:hint="eastAsia"/>
          <w:sz w:val="32"/>
          <w:szCs w:val="32"/>
        </w:rPr>
        <w:t>二季度</w:t>
      </w:r>
      <w:r w:rsidRPr="00100AEA">
        <w:rPr>
          <w:rFonts w:ascii="Times New Roman" w:eastAsia="方正仿宋_GBK" w:hAnsi="Times New Roman" w:cs="宋体" w:hint="eastAsia"/>
          <w:sz w:val="32"/>
          <w:szCs w:val="32"/>
        </w:rPr>
        <w:t>，盐城市市场监督管理局委托盐城市产品质量监督检验所，对车用柴油产品进行了市级监督抽查。本次抽查</w:t>
      </w:r>
      <w:r w:rsidRPr="00100AEA">
        <w:rPr>
          <w:rFonts w:ascii="Times New Roman" w:eastAsia="方正仿宋_GBK" w:hAnsi="Times New Roman" w:cs="宋体" w:hint="eastAsia"/>
          <w:sz w:val="32"/>
          <w:szCs w:val="32"/>
        </w:rPr>
        <w:t>30</w:t>
      </w:r>
      <w:r w:rsidRPr="00100AEA">
        <w:rPr>
          <w:rFonts w:ascii="Times New Roman" w:eastAsia="方正仿宋_GBK" w:hAnsi="Times New Roman" w:cs="宋体" w:hint="eastAsia"/>
          <w:sz w:val="32"/>
          <w:szCs w:val="32"/>
        </w:rPr>
        <w:t>批次，合格</w:t>
      </w:r>
      <w:r w:rsidRPr="00100AEA">
        <w:rPr>
          <w:rFonts w:ascii="Times New Roman" w:eastAsia="方正仿宋_GBK" w:hAnsi="Times New Roman" w:cs="宋体" w:hint="eastAsia"/>
          <w:sz w:val="32"/>
          <w:szCs w:val="32"/>
        </w:rPr>
        <w:t>29</w:t>
      </w:r>
      <w:r w:rsidRPr="00100AEA">
        <w:rPr>
          <w:rFonts w:ascii="Times New Roman" w:eastAsia="方正仿宋_GBK" w:hAnsi="Times New Roman" w:cs="宋体" w:hint="eastAsia"/>
          <w:sz w:val="32"/>
          <w:szCs w:val="32"/>
        </w:rPr>
        <w:t>批次，合格率</w:t>
      </w:r>
      <w:r w:rsidRPr="00100AEA">
        <w:rPr>
          <w:rFonts w:ascii="Times New Roman" w:eastAsia="方正仿宋_GBK" w:hAnsi="Times New Roman" w:cs="宋体" w:hint="eastAsia"/>
          <w:sz w:val="32"/>
          <w:szCs w:val="32"/>
        </w:rPr>
        <w:t>96.7%</w:t>
      </w:r>
      <w:r w:rsidRPr="00100AEA">
        <w:rPr>
          <w:rFonts w:ascii="Times New Roman" w:eastAsia="方正仿宋_GBK" w:hAnsi="Times New Roman" w:cs="宋体" w:hint="eastAsia"/>
          <w:sz w:val="32"/>
          <w:szCs w:val="32"/>
        </w:rPr>
        <w:t>，不合格项目为硫含量</w:t>
      </w:r>
      <w:r w:rsidRPr="00100AEA">
        <w:rPr>
          <w:rFonts w:ascii="Times New Roman" w:eastAsia="方正仿宋_GBK" w:hAnsi="Times New Roman" w:cs="宋体" w:hint="eastAsia"/>
          <w:sz w:val="32"/>
          <w:szCs w:val="32"/>
        </w:rPr>
        <w:t>。</w:t>
      </w:r>
    </w:p>
    <w:p w:rsidR="0083305C" w:rsidRPr="00100AEA" w:rsidRDefault="00D277CA">
      <w:pPr>
        <w:spacing w:line="576" w:lineRule="exact"/>
        <w:ind w:firstLine="560"/>
        <w:rPr>
          <w:rFonts w:ascii="Times New Roman" w:eastAsia="方正黑体_GBK" w:hAnsi="Times New Roman" w:cs="宋体"/>
          <w:sz w:val="32"/>
          <w:szCs w:val="32"/>
        </w:rPr>
      </w:pPr>
      <w:r w:rsidRPr="00100AEA">
        <w:rPr>
          <w:rFonts w:ascii="Times New Roman" w:eastAsia="方正黑体_GBK" w:hAnsi="Times New Roman" w:cs="宋体" w:hint="eastAsia"/>
          <w:sz w:val="32"/>
          <w:szCs w:val="32"/>
        </w:rPr>
        <w:t>一、产品和产业概况</w:t>
      </w:r>
    </w:p>
    <w:p w:rsidR="0083305C" w:rsidRPr="00100AEA" w:rsidRDefault="00D277CA">
      <w:pPr>
        <w:spacing w:line="576" w:lineRule="exact"/>
        <w:ind w:firstLine="560"/>
        <w:rPr>
          <w:rFonts w:ascii="Times New Roman" w:eastAsia="方正楷体_GBK" w:hAnsi="Times New Roman" w:cs="宋体"/>
          <w:bCs/>
          <w:color w:val="000000"/>
          <w:kern w:val="0"/>
          <w:sz w:val="32"/>
          <w:szCs w:val="32"/>
        </w:rPr>
      </w:pPr>
      <w:r w:rsidRPr="00100AEA">
        <w:rPr>
          <w:rFonts w:ascii="Times New Roman" w:eastAsia="方正楷体_GBK" w:hAnsi="Times New Roman" w:cs="宋体" w:hint="eastAsia"/>
          <w:bCs/>
          <w:color w:val="000000"/>
          <w:kern w:val="0"/>
          <w:sz w:val="32"/>
          <w:szCs w:val="32"/>
        </w:rPr>
        <w:t>（一）产品概况</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sz w:val="32"/>
          <w:szCs w:val="32"/>
        </w:rPr>
        <w:t>柴油是轻质石油产品，复杂烃类混合物。主要由原油蒸馏、催化裂化、热裂化、加氢裂化、石油焦化等过程生产的柴油馏分调配而成，也可由页岩油加工和煤液化制取。</w:t>
      </w:r>
      <w:r w:rsidRPr="00100AEA">
        <w:rPr>
          <w:rFonts w:ascii="Times New Roman" w:eastAsia="方正仿宋_GBK" w:hAnsi="Times New Roman" w:cs="宋体" w:hint="eastAsia"/>
          <w:sz w:val="32"/>
          <w:szCs w:val="32"/>
        </w:rPr>
        <w:t>车用</w:t>
      </w:r>
      <w:r w:rsidRPr="00100AEA">
        <w:rPr>
          <w:rFonts w:ascii="Times New Roman" w:eastAsia="方正仿宋_GBK" w:hAnsi="Times New Roman" w:cs="宋体"/>
          <w:sz w:val="32"/>
          <w:szCs w:val="32"/>
        </w:rPr>
        <w:t>柴油</w:t>
      </w:r>
      <w:r w:rsidRPr="00100AEA">
        <w:rPr>
          <w:rFonts w:ascii="Times New Roman" w:eastAsia="方正仿宋_GBK" w:hAnsi="Times New Roman" w:cs="宋体" w:hint="eastAsia"/>
          <w:sz w:val="32"/>
          <w:szCs w:val="32"/>
        </w:rPr>
        <w:t>按</w:t>
      </w:r>
      <w:hyperlink r:id="rId7" w:tgtFrame="_blank" w:history="1">
        <w:r w:rsidRPr="00100AEA">
          <w:rPr>
            <w:rFonts w:ascii="Times New Roman" w:eastAsia="方正仿宋_GBK" w:hAnsi="Times New Roman" w:cs="宋体"/>
            <w:sz w:val="32"/>
            <w:szCs w:val="32"/>
          </w:rPr>
          <w:t>凝点</w:t>
        </w:r>
      </w:hyperlink>
      <w:r w:rsidRPr="00100AEA">
        <w:rPr>
          <w:rFonts w:ascii="Times New Roman" w:eastAsia="方正仿宋_GBK" w:hAnsi="Times New Roman" w:cs="宋体" w:hint="eastAsia"/>
          <w:sz w:val="32"/>
          <w:szCs w:val="32"/>
        </w:rPr>
        <w:t>分为六个牌号：</w:t>
      </w:r>
      <w:r w:rsidRPr="00100AEA">
        <w:rPr>
          <w:rFonts w:ascii="Times New Roman" w:eastAsia="方正仿宋_GBK" w:hAnsi="Times New Roman" w:cs="宋体"/>
          <w:sz w:val="32"/>
          <w:szCs w:val="32"/>
        </w:rPr>
        <w:t>5</w:t>
      </w:r>
      <w:r w:rsidRPr="00100AEA">
        <w:rPr>
          <w:rFonts w:ascii="Times New Roman" w:eastAsia="方正仿宋_GBK" w:hAnsi="Times New Roman" w:cs="宋体" w:hint="eastAsia"/>
          <w:sz w:val="32"/>
          <w:szCs w:val="32"/>
        </w:rPr>
        <w:t>号车用</w:t>
      </w:r>
      <w:r w:rsidRPr="00100AEA">
        <w:rPr>
          <w:rFonts w:ascii="Times New Roman" w:eastAsia="方正仿宋_GBK" w:hAnsi="Times New Roman" w:cs="宋体"/>
          <w:sz w:val="32"/>
          <w:szCs w:val="32"/>
        </w:rPr>
        <w:t>柴油、</w:t>
      </w:r>
      <w:r w:rsidRPr="00100AEA">
        <w:rPr>
          <w:rFonts w:ascii="Times New Roman" w:eastAsia="方正仿宋_GBK" w:hAnsi="Times New Roman" w:cs="宋体"/>
          <w:sz w:val="32"/>
          <w:szCs w:val="32"/>
        </w:rPr>
        <w:t>0</w:t>
      </w:r>
      <w:r w:rsidRPr="00100AEA">
        <w:rPr>
          <w:rFonts w:ascii="Times New Roman" w:eastAsia="方正仿宋_GBK" w:hAnsi="Times New Roman" w:cs="宋体" w:hint="eastAsia"/>
          <w:sz w:val="32"/>
          <w:szCs w:val="32"/>
        </w:rPr>
        <w:t>号车用</w:t>
      </w:r>
      <w:r w:rsidRPr="00100AEA">
        <w:rPr>
          <w:rFonts w:ascii="Times New Roman" w:eastAsia="方正仿宋_GBK" w:hAnsi="Times New Roman" w:cs="宋体"/>
          <w:sz w:val="32"/>
          <w:szCs w:val="32"/>
        </w:rPr>
        <w:t>柴油、</w:t>
      </w:r>
      <w:r w:rsidRPr="00100AEA">
        <w:rPr>
          <w:rFonts w:ascii="Times New Roman" w:eastAsia="方正仿宋_GBK" w:hAnsi="Times New Roman" w:cs="宋体"/>
          <w:sz w:val="32"/>
          <w:szCs w:val="32"/>
        </w:rPr>
        <w:t>-10</w:t>
      </w:r>
      <w:r w:rsidRPr="00100AEA">
        <w:rPr>
          <w:rFonts w:ascii="Times New Roman" w:eastAsia="方正仿宋_GBK" w:hAnsi="Times New Roman" w:cs="宋体" w:hint="eastAsia"/>
          <w:sz w:val="32"/>
          <w:szCs w:val="32"/>
        </w:rPr>
        <w:t>号车用</w:t>
      </w:r>
      <w:r w:rsidRPr="00100AEA">
        <w:rPr>
          <w:rFonts w:ascii="Times New Roman" w:eastAsia="方正仿宋_GBK" w:hAnsi="Times New Roman" w:cs="宋体"/>
          <w:sz w:val="32"/>
          <w:szCs w:val="32"/>
        </w:rPr>
        <w:t>柴油、</w:t>
      </w:r>
      <w:r w:rsidRPr="00100AEA">
        <w:rPr>
          <w:rFonts w:ascii="Times New Roman" w:eastAsia="方正仿宋_GBK" w:hAnsi="Times New Roman" w:cs="宋体"/>
          <w:sz w:val="32"/>
          <w:szCs w:val="32"/>
        </w:rPr>
        <w:t>-20</w:t>
      </w:r>
      <w:r w:rsidRPr="00100AEA">
        <w:rPr>
          <w:rFonts w:ascii="Times New Roman" w:eastAsia="方正仿宋_GBK" w:hAnsi="Times New Roman" w:cs="宋体" w:hint="eastAsia"/>
          <w:sz w:val="32"/>
          <w:szCs w:val="32"/>
        </w:rPr>
        <w:t>号车用</w:t>
      </w:r>
      <w:r w:rsidRPr="00100AEA">
        <w:rPr>
          <w:rFonts w:ascii="Times New Roman" w:eastAsia="方正仿宋_GBK" w:hAnsi="Times New Roman" w:cs="宋体"/>
          <w:sz w:val="32"/>
          <w:szCs w:val="32"/>
        </w:rPr>
        <w:t>柴油、</w:t>
      </w:r>
      <w:r w:rsidRPr="00100AEA">
        <w:rPr>
          <w:rFonts w:ascii="Times New Roman" w:eastAsia="方正仿宋_GBK" w:hAnsi="Times New Roman" w:cs="宋体"/>
          <w:sz w:val="32"/>
          <w:szCs w:val="32"/>
        </w:rPr>
        <w:t>-35</w:t>
      </w:r>
      <w:r w:rsidRPr="00100AEA">
        <w:rPr>
          <w:rFonts w:ascii="Times New Roman" w:eastAsia="方正仿宋_GBK" w:hAnsi="Times New Roman" w:cs="宋体" w:hint="eastAsia"/>
          <w:sz w:val="32"/>
          <w:szCs w:val="32"/>
        </w:rPr>
        <w:t>号车用</w:t>
      </w:r>
      <w:r w:rsidRPr="00100AEA">
        <w:rPr>
          <w:rFonts w:ascii="Times New Roman" w:eastAsia="方正仿宋_GBK" w:hAnsi="Times New Roman" w:cs="宋体"/>
          <w:sz w:val="32"/>
          <w:szCs w:val="32"/>
        </w:rPr>
        <w:t>柴油和</w:t>
      </w:r>
      <w:r w:rsidRPr="00100AEA">
        <w:rPr>
          <w:rFonts w:ascii="Times New Roman" w:eastAsia="方正仿宋_GBK" w:hAnsi="Times New Roman" w:cs="宋体"/>
          <w:sz w:val="32"/>
          <w:szCs w:val="32"/>
        </w:rPr>
        <w:t>-50</w:t>
      </w:r>
      <w:r w:rsidRPr="00100AEA">
        <w:rPr>
          <w:rFonts w:ascii="Times New Roman" w:eastAsia="方正仿宋_GBK" w:hAnsi="Times New Roman" w:cs="宋体" w:hint="eastAsia"/>
          <w:sz w:val="32"/>
          <w:szCs w:val="32"/>
        </w:rPr>
        <w:t>号车用</w:t>
      </w:r>
      <w:r w:rsidRPr="00100AEA">
        <w:rPr>
          <w:rFonts w:ascii="Times New Roman" w:eastAsia="方正仿宋_GBK" w:hAnsi="Times New Roman" w:cs="宋体"/>
          <w:sz w:val="32"/>
          <w:szCs w:val="32"/>
        </w:rPr>
        <w:t>柴油。</w:t>
      </w:r>
    </w:p>
    <w:p w:rsidR="0083305C" w:rsidRPr="00100AEA" w:rsidRDefault="00D277CA" w:rsidP="00100AEA">
      <w:pPr>
        <w:spacing w:line="576" w:lineRule="exact"/>
        <w:ind w:firstLineChars="214" w:firstLine="685"/>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本次抽检产品主要是压燃式发动机汽车使用的、由石油制取或加有改善使用性能添加剂的车用柴油</w:t>
      </w:r>
      <w:r w:rsidRPr="00100AEA">
        <w:rPr>
          <w:rFonts w:ascii="Times New Roman" w:eastAsia="方正仿宋_GBK" w:hAnsi="Times New Roman" w:cs="宋体" w:hint="eastAsia"/>
          <w:sz w:val="32"/>
          <w:szCs w:val="32"/>
        </w:rPr>
        <w:t>。</w:t>
      </w:r>
    </w:p>
    <w:p w:rsidR="0083305C" w:rsidRPr="00100AEA" w:rsidRDefault="00D277CA">
      <w:pPr>
        <w:spacing w:line="576" w:lineRule="exact"/>
        <w:ind w:firstLine="560"/>
        <w:rPr>
          <w:rFonts w:ascii="Times New Roman" w:eastAsia="方正楷体_GBK" w:hAnsi="Times New Roman" w:cs="宋体"/>
          <w:bCs/>
          <w:color w:val="000000"/>
          <w:kern w:val="0"/>
          <w:sz w:val="32"/>
          <w:szCs w:val="32"/>
        </w:rPr>
      </w:pPr>
      <w:r w:rsidRPr="00100AEA">
        <w:rPr>
          <w:rFonts w:ascii="Times New Roman" w:eastAsia="方正楷体_GBK" w:hAnsi="Times New Roman" w:cs="宋体" w:hint="eastAsia"/>
          <w:bCs/>
          <w:color w:val="000000"/>
          <w:kern w:val="0"/>
          <w:sz w:val="32"/>
          <w:szCs w:val="32"/>
        </w:rPr>
        <w:t>（二）产业概况</w:t>
      </w:r>
    </w:p>
    <w:p w:rsidR="0083305C" w:rsidRPr="00100AEA" w:rsidRDefault="00D277CA">
      <w:pPr>
        <w:spacing w:line="576" w:lineRule="exact"/>
        <w:ind w:firstLineChars="214" w:firstLine="687"/>
        <w:rPr>
          <w:rFonts w:ascii="Times New Roman" w:eastAsia="方正仿宋_GBK" w:hAnsi="Times New Roman" w:cs="宋体"/>
          <w:sz w:val="32"/>
          <w:szCs w:val="32"/>
        </w:rPr>
      </w:pPr>
      <w:r w:rsidRPr="00100AEA">
        <w:rPr>
          <w:rFonts w:ascii="Times New Roman" w:eastAsia="方正仿宋_GBK" w:hAnsi="Times New Roman" w:cs="宋体" w:hint="eastAsia"/>
          <w:b/>
          <w:sz w:val="32"/>
          <w:szCs w:val="32"/>
        </w:rPr>
        <w:t>1.</w:t>
      </w:r>
      <w:r w:rsidRPr="00100AEA">
        <w:rPr>
          <w:rFonts w:ascii="Times New Roman" w:eastAsia="方正仿宋_GBK" w:hAnsi="Times New Roman" w:cs="宋体" w:hint="eastAsia"/>
          <w:b/>
          <w:sz w:val="32"/>
          <w:szCs w:val="32"/>
        </w:rPr>
        <w:t>产业分布</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2020</w:t>
      </w:r>
      <w:r w:rsidRPr="00100AEA">
        <w:rPr>
          <w:rFonts w:ascii="Times New Roman" w:eastAsia="方正仿宋_GBK" w:hAnsi="Times New Roman" w:cs="宋体" w:hint="eastAsia"/>
          <w:sz w:val="32"/>
          <w:szCs w:val="32"/>
        </w:rPr>
        <w:t>年中国柴油产量前十的省份为山东、辽宁、广东、新疆、浙江、上海、陕西、江苏、甘肃、河北，产量合计为</w:t>
      </w:r>
      <w:r w:rsidRPr="00100AEA">
        <w:rPr>
          <w:rFonts w:ascii="Times New Roman" w:eastAsia="方正仿宋_GBK" w:hAnsi="Times New Roman" w:cs="宋体" w:hint="eastAsia"/>
          <w:sz w:val="32"/>
          <w:szCs w:val="32"/>
        </w:rPr>
        <w:t>11377.1</w:t>
      </w:r>
      <w:r w:rsidRPr="00100AEA">
        <w:rPr>
          <w:rFonts w:ascii="Times New Roman" w:eastAsia="方正仿宋_GBK" w:hAnsi="Times New Roman" w:cs="宋体" w:hint="eastAsia"/>
          <w:sz w:val="32"/>
          <w:szCs w:val="32"/>
        </w:rPr>
        <w:t>万吨，占据整个中国产量的</w:t>
      </w:r>
      <w:r w:rsidRPr="00100AEA">
        <w:rPr>
          <w:rFonts w:ascii="Times New Roman" w:eastAsia="方正仿宋_GBK" w:hAnsi="Times New Roman" w:cs="宋体" w:hint="eastAsia"/>
          <w:sz w:val="32"/>
          <w:szCs w:val="32"/>
        </w:rPr>
        <w:t>71.5%</w:t>
      </w:r>
      <w:r w:rsidRPr="00100AEA">
        <w:rPr>
          <w:rFonts w:ascii="Times New Roman" w:eastAsia="方正仿宋_GBK" w:hAnsi="Times New Roman" w:cs="宋体" w:hint="eastAsia"/>
          <w:sz w:val="32"/>
          <w:szCs w:val="32"/>
        </w:rPr>
        <w:t>。</w:t>
      </w:r>
      <w:r w:rsidRPr="00100AEA">
        <w:rPr>
          <w:rFonts w:ascii="Times New Roman" w:eastAsia="方正仿宋_GBK" w:hAnsi="Times New Roman" w:cs="宋体" w:hint="eastAsia"/>
          <w:sz w:val="32"/>
          <w:szCs w:val="32"/>
        </w:rPr>
        <w:t>2020</w:t>
      </w:r>
      <w:r w:rsidRPr="00100AEA">
        <w:rPr>
          <w:rFonts w:ascii="Times New Roman" w:eastAsia="方正仿宋_GBK" w:hAnsi="Times New Roman" w:cs="宋体" w:hint="eastAsia"/>
          <w:sz w:val="32"/>
          <w:szCs w:val="32"/>
        </w:rPr>
        <w:t>年柴油产量前三的省份</w:t>
      </w:r>
      <w:r w:rsidRPr="00100AEA">
        <w:rPr>
          <w:rFonts w:ascii="Times New Roman" w:eastAsia="方正仿宋_GBK" w:hAnsi="Times New Roman" w:cs="宋体" w:hint="eastAsia"/>
          <w:sz w:val="32"/>
          <w:szCs w:val="32"/>
        </w:rPr>
        <w:lastRenderedPageBreak/>
        <w:t>为山东、辽宁、广东，产量分别为</w:t>
      </w:r>
      <w:r w:rsidRPr="00100AEA">
        <w:rPr>
          <w:rFonts w:ascii="Times New Roman" w:eastAsia="方正仿宋_GBK" w:hAnsi="Times New Roman" w:cs="宋体" w:hint="eastAsia"/>
          <w:sz w:val="32"/>
          <w:szCs w:val="32"/>
        </w:rPr>
        <w:t>2897.3</w:t>
      </w:r>
      <w:r w:rsidRPr="00100AEA">
        <w:rPr>
          <w:rFonts w:ascii="Times New Roman" w:eastAsia="方正仿宋_GBK" w:hAnsi="Times New Roman" w:cs="宋体" w:hint="eastAsia"/>
          <w:sz w:val="32"/>
          <w:szCs w:val="32"/>
        </w:rPr>
        <w:t>万吨、</w:t>
      </w:r>
      <w:r w:rsidRPr="00100AEA">
        <w:rPr>
          <w:rFonts w:ascii="Times New Roman" w:eastAsia="方正仿宋_GBK" w:hAnsi="Times New Roman" w:cs="宋体" w:hint="eastAsia"/>
          <w:sz w:val="32"/>
          <w:szCs w:val="32"/>
        </w:rPr>
        <w:t>2223.1</w:t>
      </w:r>
      <w:r w:rsidRPr="00100AEA">
        <w:rPr>
          <w:rFonts w:ascii="Times New Roman" w:eastAsia="方正仿宋_GBK" w:hAnsi="Times New Roman" w:cs="宋体" w:hint="eastAsia"/>
          <w:sz w:val="32"/>
          <w:szCs w:val="32"/>
        </w:rPr>
        <w:t>万吨、</w:t>
      </w:r>
      <w:r w:rsidRPr="00100AEA">
        <w:rPr>
          <w:rFonts w:ascii="Times New Roman" w:eastAsia="方正仿宋_GBK" w:hAnsi="Times New Roman" w:cs="宋体" w:hint="eastAsia"/>
          <w:sz w:val="32"/>
          <w:szCs w:val="32"/>
        </w:rPr>
        <w:t>1592.5</w:t>
      </w:r>
      <w:r w:rsidRPr="00100AEA">
        <w:rPr>
          <w:rFonts w:ascii="Times New Roman" w:eastAsia="方正仿宋_GBK" w:hAnsi="Times New Roman" w:cs="宋体" w:hint="eastAsia"/>
          <w:sz w:val="32"/>
          <w:szCs w:val="32"/>
        </w:rPr>
        <w:t>万吨，产量合计为</w:t>
      </w:r>
      <w:r w:rsidRPr="00100AEA">
        <w:rPr>
          <w:rFonts w:ascii="Times New Roman" w:eastAsia="方正仿宋_GBK" w:hAnsi="Times New Roman" w:cs="宋体" w:hint="eastAsia"/>
          <w:sz w:val="32"/>
          <w:szCs w:val="32"/>
        </w:rPr>
        <w:t>6712.9</w:t>
      </w:r>
      <w:r w:rsidRPr="00100AEA">
        <w:rPr>
          <w:rFonts w:ascii="Times New Roman" w:eastAsia="方正仿宋_GBK" w:hAnsi="Times New Roman" w:cs="宋体" w:hint="eastAsia"/>
          <w:sz w:val="32"/>
          <w:szCs w:val="32"/>
        </w:rPr>
        <w:t>万吨，占整个中国产量的</w:t>
      </w:r>
      <w:r w:rsidRPr="00100AEA">
        <w:rPr>
          <w:rFonts w:ascii="Times New Roman" w:eastAsia="方正仿宋_GBK" w:hAnsi="Times New Roman" w:cs="宋体" w:hint="eastAsia"/>
          <w:sz w:val="32"/>
          <w:szCs w:val="32"/>
        </w:rPr>
        <w:t>42.2%</w:t>
      </w:r>
      <w:r w:rsidRPr="00100AEA">
        <w:rPr>
          <w:rFonts w:ascii="Times New Roman" w:eastAsia="方正仿宋_GBK" w:hAnsi="Times New Roman" w:cs="宋体" w:hint="eastAsia"/>
          <w:sz w:val="32"/>
          <w:szCs w:val="32"/>
        </w:rPr>
        <w:t>。</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sz w:val="32"/>
          <w:szCs w:val="32"/>
        </w:rPr>
        <w:t>江苏省内</w:t>
      </w:r>
      <w:r w:rsidRPr="00100AEA">
        <w:rPr>
          <w:rFonts w:ascii="Times New Roman" w:eastAsia="方正仿宋_GBK" w:hAnsi="Times New Roman" w:cs="宋体" w:hint="eastAsia"/>
          <w:sz w:val="32"/>
          <w:szCs w:val="32"/>
        </w:rPr>
        <w:t>成品油</w:t>
      </w:r>
      <w:r w:rsidRPr="00100AEA">
        <w:rPr>
          <w:rFonts w:ascii="Times New Roman" w:eastAsia="方正仿宋_GBK" w:hAnsi="Times New Roman" w:cs="宋体"/>
          <w:sz w:val="32"/>
          <w:szCs w:val="32"/>
        </w:rPr>
        <w:t>生产企业主要是金陵石化、扬子石化、新海石化、泰州炼油厂等</w:t>
      </w:r>
      <w:r w:rsidRPr="00100AEA">
        <w:rPr>
          <w:rFonts w:ascii="Times New Roman" w:eastAsia="方正仿宋_GBK" w:hAnsi="Times New Roman" w:cs="宋体"/>
          <w:sz w:val="32"/>
          <w:szCs w:val="32"/>
        </w:rPr>
        <w:t>10</w:t>
      </w:r>
      <w:r w:rsidRPr="00100AEA">
        <w:rPr>
          <w:rFonts w:ascii="Times New Roman" w:eastAsia="方正仿宋_GBK" w:hAnsi="Times New Roman" w:cs="宋体"/>
          <w:sz w:val="32"/>
          <w:szCs w:val="32"/>
        </w:rPr>
        <w:t>家生产企业，主要集中在南京、泰州、扬州、镇江、连云港、淮安等地。</w:t>
      </w:r>
    </w:p>
    <w:p w:rsidR="0083305C" w:rsidRPr="00100AEA" w:rsidRDefault="00D277CA">
      <w:pPr>
        <w:spacing w:line="576" w:lineRule="exact"/>
        <w:ind w:firstLineChars="214" w:firstLine="687"/>
        <w:rPr>
          <w:rFonts w:ascii="Times New Roman" w:eastAsia="方正仿宋_GBK" w:hAnsi="Times New Roman" w:cs="宋体"/>
          <w:b/>
          <w:sz w:val="32"/>
          <w:szCs w:val="32"/>
        </w:rPr>
      </w:pPr>
      <w:r w:rsidRPr="00100AEA">
        <w:rPr>
          <w:rFonts w:ascii="Times New Roman" w:eastAsia="方正仿宋_GBK" w:hAnsi="Times New Roman" w:cs="宋体" w:hint="eastAsia"/>
          <w:b/>
          <w:sz w:val="32"/>
          <w:szCs w:val="32"/>
        </w:rPr>
        <w:t>2.</w:t>
      </w:r>
      <w:r w:rsidRPr="00100AEA">
        <w:rPr>
          <w:rFonts w:ascii="Times New Roman" w:eastAsia="方正仿宋_GBK" w:hAnsi="Times New Roman" w:cs="宋体" w:hint="eastAsia"/>
          <w:b/>
          <w:sz w:val="32"/>
          <w:szCs w:val="32"/>
        </w:rPr>
        <w:t>销售渠道</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盐城地区</w:t>
      </w:r>
      <w:r w:rsidRPr="00100AEA">
        <w:rPr>
          <w:rFonts w:ascii="Times New Roman" w:eastAsia="方正仿宋_GBK" w:hAnsi="Times New Roman" w:cs="宋体" w:hint="eastAsia"/>
          <w:sz w:val="32"/>
          <w:szCs w:val="32"/>
        </w:rPr>
        <w:t>以中石油、中石化等加油站销售为主，部分小型加油点也有销售。</w:t>
      </w:r>
    </w:p>
    <w:p w:rsidR="0083305C" w:rsidRPr="00100AEA" w:rsidRDefault="00D277CA">
      <w:pPr>
        <w:spacing w:line="576" w:lineRule="exact"/>
        <w:ind w:firstLine="560"/>
        <w:rPr>
          <w:rFonts w:ascii="Times New Roman" w:eastAsia="方正黑体_GBK" w:hAnsi="Times New Roman" w:cs="宋体"/>
          <w:sz w:val="32"/>
          <w:szCs w:val="32"/>
        </w:rPr>
      </w:pPr>
      <w:r w:rsidRPr="00100AEA">
        <w:rPr>
          <w:rFonts w:ascii="Times New Roman" w:eastAsia="方正黑体_GBK" w:hAnsi="Times New Roman" w:cs="宋体" w:hint="eastAsia"/>
          <w:sz w:val="32"/>
          <w:szCs w:val="32"/>
        </w:rPr>
        <w:t>二、检验检测概况</w:t>
      </w:r>
    </w:p>
    <w:p w:rsidR="0083305C" w:rsidRPr="00100AEA" w:rsidRDefault="00D277CA">
      <w:pPr>
        <w:spacing w:line="576" w:lineRule="exact"/>
        <w:ind w:firstLine="560"/>
        <w:rPr>
          <w:rFonts w:ascii="Times New Roman" w:eastAsia="方正楷体_GBK" w:hAnsi="Times New Roman" w:cs="宋体"/>
          <w:bCs/>
          <w:color w:val="000000"/>
          <w:kern w:val="0"/>
          <w:sz w:val="32"/>
          <w:szCs w:val="32"/>
        </w:rPr>
      </w:pPr>
      <w:r w:rsidRPr="00100AEA">
        <w:rPr>
          <w:rFonts w:ascii="Times New Roman" w:eastAsia="方正楷体_GBK" w:hAnsi="Times New Roman" w:cs="宋体" w:hint="eastAsia"/>
          <w:bCs/>
          <w:color w:val="000000"/>
          <w:kern w:val="0"/>
          <w:sz w:val="32"/>
          <w:szCs w:val="32"/>
        </w:rPr>
        <w:t>（一）样品来源</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本次任务共</w:t>
      </w:r>
      <w:r w:rsidRPr="00100AEA">
        <w:rPr>
          <w:rFonts w:ascii="Times New Roman" w:eastAsia="方正仿宋_GBK" w:hAnsi="Times New Roman" w:cs="宋体" w:hint="eastAsia"/>
          <w:sz w:val="32"/>
          <w:szCs w:val="32"/>
        </w:rPr>
        <w:t>30</w:t>
      </w:r>
      <w:r w:rsidRPr="00100AEA">
        <w:rPr>
          <w:rFonts w:ascii="Times New Roman" w:eastAsia="方正仿宋_GBK" w:hAnsi="Times New Roman" w:cs="宋体" w:hint="eastAsia"/>
          <w:sz w:val="32"/>
          <w:szCs w:val="32"/>
        </w:rPr>
        <w:t>批次，实际抽到样</w:t>
      </w:r>
      <w:r w:rsidRPr="00100AEA">
        <w:rPr>
          <w:rFonts w:ascii="Times New Roman" w:eastAsia="方正仿宋_GBK" w:hAnsi="Times New Roman" w:cs="宋体" w:hint="eastAsia"/>
          <w:sz w:val="32"/>
          <w:szCs w:val="32"/>
        </w:rPr>
        <w:t>30</w:t>
      </w:r>
      <w:r w:rsidRPr="00100AEA">
        <w:rPr>
          <w:rFonts w:ascii="Times New Roman" w:eastAsia="方正仿宋_GBK" w:hAnsi="Times New Roman" w:cs="宋体" w:hint="eastAsia"/>
          <w:sz w:val="32"/>
          <w:szCs w:val="32"/>
        </w:rPr>
        <w:t>批次，均在实体店中抽取，具体情况见表</w:t>
      </w:r>
      <w:r w:rsidRPr="00100AEA">
        <w:rPr>
          <w:rFonts w:ascii="Times New Roman" w:eastAsia="方正仿宋_GBK" w:hAnsi="Times New Roman" w:cs="宋体" w:hint="eastAsia"/>
          <w:sz w:val="32"/>
          <w:szCs w:val="32"/>
        </w:rPr>
        <w:t>1</w:t>
      </w:r>
      <w:r w:rsidRPr="00100AEA">
        <w:rPr>
          <w:rFonts w:ascii="Times New Roman" w:eastAsia="方正仿宋_GBK" w:hAnsi="Times New Roman" w:cs="宋体" w:hint="eastAsia"/>
          <w:sz w:val="32"/>
          <w:szCs w:val="32"/>
        </w:rPr>
        <w:t>。</w:t>
      </w:r>
    </w:p>
    <w:p w:rsidR="0083305C" w:rsidRPr="00100AEA" w:rsidRDefault="00D277CA">
      <w:pPr>
        <w:spacing w:line="576" w:lineRule="exact"/>
        <w:ind w:firstLine="560"/>
        <w:jc w:val="center"/>
        <w:rPr>
          <w:rFonts w:ascii="Times New Roman" w:eastAsia="方正仿宋_GBK" w:hAnsi="Times New Roman" w:cs="宋体"/>
          <w:b/>
          <w:sz w:val="28"/>
          <w:szCs w:val="28"/>
        </w:rPr>
      </w:pPr>
      <w:r w:rsidRPr="00100AEA">
        <w:rPr>
          <w:rFonts w:ascii="Times New Roman" w:eastAsia="方正仿宋_GBK" w:hAnsi="Times New Roman" w:cs="宋体" w:hint="eastAsia"/>
          <w:b/>
          <w:sz w:val="28"/>
          <w:szCs w:val="28"/>
        </w:rPr>
        <w:t>表</w:t>
      </w:r>
      <w:r w:rsidRPr="00100AEA">
        <w:rPr>
          <w:rFonts w:ascii="Times New Roman" w:eastAsia="方正仿宋_GBK" w:hAnsi="Times New Roman" w:cs="宋体" w:hint="eastAsia"/>
          <w:b/>
          <w:sz w:val="28"/>
          <w:szCs w:val="28"/>
        </w:rPr>
        <w:t xml:space="preserve">1  </w:t>
      </w:r>
      <w:r w:rsidRPr="00100AEA">
        <w:rPr>
          <w:rFonts w:ascii="Times New Roman" w:eastAsia="方正仿宋_GBK" w:hAnsi="Times New Roman" w:cs="宋体" w:hint="eastAsia"/>
          <w:b/>
          <w:sz w:val="28"/>
          <w:szCs w:val="28"/>
        </w:rPr>
        <w:t>车用柴油样品来源</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287"/>
        <w:gridCol w:w="2169"/>
        <w:gridCol w:w="1632"/>
      </w:tblGrid>
      <w:tr w:rsidR="0083305C" w:rsidRPr="00100AEA">
        <w:trPr>
          <w:trHeight w:val="510"/>
          <w:jc w:val="center"/>
        </w:trPr>
        <w:tc>
          <w:tcPr>
            <w:tcW w:w="1494" w:type="pct"/>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产品类别</w:t>
            </w:r>
          </w:p>
        </w:tc>
        <w:tc>
          <w:tcPr>
            <w:tcW w:w="1317" w:type="pct"/>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样品来源</w:t>
            </w:r>
          </w:p>
        </w:tc>
        <w:tc>
          <w:tcPr>
            <w:tcW w:w="1249" w:type="pct"/>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样品来源方式</w:t>
            </w:r>
          </w:p>
        </w:tc>
        <w:tc>
          <w:tcPr>
            <w:tcW w:w="940" w:type="pct"/>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抽样批次</w:t>
            </w:r>
          </w:p>
        </w:tc>
      </w:tr>
      <w:tr w:rsidR="0083305C" w:rsidRPr="00100AEA">
        <w:trPr>
          <w:trHeight w:val="510"/>
          <w:jc w:val="center"/>
        </w:trPr>
        <w:tc>
          <w:tcPr>
            <w:tcW w:w="1494" w:type="pct"/>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车用柴油</w:t>
            </w:r>
          </w:p>
        </w:tc>
        <w:tc>
          <w:tcPr>
            <w:tcW w:w="1317" w:type="pct"/>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实体店（加油站）</w:t>
            </w:r>
          </w:p>
        </w:tc>
        <w:tc>
          <w:tcPr>
            <w:tcW w:w="1249" w:type="pct"/>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购样</w:t>
            </w:r>
          </w:p>
        </w:tc>
        <w:tc>
          <w:tcPr>
            <w:tcW w:w="940" w:type="pct"/>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30</w:t>
            </w:r>
          </w:p>
        </w:tc>
      </w:tr>
    </w:tbl>
    <w:p w:rsidR="0083305C" w:rsidRPr="00100AEA" w:rsidRDefault="00D277CA">
      <w:pPr>
        <w:spacing w:line="576" w:lineRule="exact"/>
        <w:ind w:firstLine="560"/>
        <w:rPr>
          <w:rFonts w:ascii="Times New Roman" w:eastAsia="方正楷体_GBK" w:hAnsi="Times New Roman" w:cs="宋体"/>
          <w:bCs/>
          <w:color w:val="000000"/>
          <w:kern w:val="0"/>
          <w:sz w:val="32"/>
          <w:szCs w:val="32"/>
        </w:rPr>
      </w:pPr>
      <w:r w:rsidRPr="00100AEA">
        <w:rPr>
          <w:rFonts w:ascii="Times New Roman" w:eastAsia="方正楷体_GBK" w:hAnsi="Times New Roman" w:cs="宋体" w:hint="eastAsia"/>
          <w:bCs/>
          <w:color w:val="000000"/>
          <w:kern w:val="0"/>
          <w:sz w:val="32"/>
          <w:szCs w:val="32"/>
        </w:rPr>
        <w:t>（二）检验检测项目概况</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本次监督抽查检验检测依据如下：</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GB 19147-2016</w:t>
      </w:r>
      <w:r w:rsidRPr="00100AEA">
        <w:rPr>
          <w:rFonts w:ascii="Times New Roman" w:eastAsia="方正仿宋_GBK" w:hAnsi="Times New Roman" w:cs="宋体" w:hint="eastAsia"/>
          <w:sz w:val="32"/>
          <w:szCs w:val="32"/>
        </w:rPr>
        <w:t>《车用柴油》</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相关的法律法规、部门规章和规范</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经备案现行有效的企业标准及产品明示质量要求</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本次监督抽查涉及的具体检验检测项目、方法和判定依据见表</w:t>
      </w:r>
      <w:r w:rsidRPr="00100AEA">
        <w:rPr>
          <w:rFonts w:ascii="Times New Roman" w:eastAsia="方正仿宋_GBK" w:hAnsi="Times New Roman" w:cs="宋体" w:hint="eastAsia"/>
          <w:sz w:val="32"/>
          <w:szCs w:val="32"/>
        </w:rPr>
        <w:t>2</w:t>
      </w:r>
      <w:r w:rsidRPr="00100AEA">
        <w:rPr>
          <w:rFonts w:ascii="Times New Roman" w:eastAsia="方正仿宋_GBK" w:hAnsi="Times New Roman" w:cs="宋体" w:hint="eastAsia"/>
          <w:sz w:val="32"/>
          <w:szCs w:val="32"/>
        </w:rPr>
        <w:t>：</w:t>
      </w:r>
    </w:p>
    <w:p w:rsidR="0083305C" w:rsidRPr="00100AEA" w:rsidRDefault="00D277CA">
      <w:pPr>
        <w:widowControl/>
        <w:shd w:val="clear" w:color="auto" w:fill="FFFFFF"/>
        <w:spacing w:line="576" w:lineRule="exact"/>
        <w:ind w:firstLineChars="200" w:firstLine="562"/>
        <w:rPr>
          <w:rFonts w:ascii="Times New Roman" w:eastAsia="方正仿宋_GBK" w:hAnsi="Times New Roman" w:cs="宋体"/>
          <w:b/>
          <w:sz w:val="28"/>
          <w:szCs w:val="28"/>
        </w:rPr>
      </w:pPr>
      <w:r w:rsidRPr="00100AEA">
        <w:rPr>
          <w:rFonts w:ascii="Times New Roman" w:eastAsia="方正仿宋_GBK" w:hAnsi="Times New Roman" w:cs="宋体" w:hint="eastAsia"/>
          <w:b/>
          <w:sz w:val="28"/>
          <w:szCs w:val="28"/>
        </w:rPr>
        <w:lastRenderedPageBreak/>
        <w:t xml:space="preserve">          </w:t>
      </w:r>
      <w:r w:rsidRPr="00100AEA">
        <w:rPr>
          <w:rFonts w:ascii="Times New Roman" w:eastAsia="方正仿宋_GBK" w:hAnsi="Times New Roman" w:cs="宋体"/>
          <w:b/>
          <w:sz w:val="28"/>
          <w:szCs w:val="28"/>
        </w:rPr>
        <w:t>表</w:t>
      </w:r>
      <w:r w:rsidRPr="00100AEA">
        <w:rPr>
          <w:rFonts w:ascii="Times New Roman" w:eastAsia="方正仿宋_GBK" w:hAnsi="Times New Roman" w:cs="宋体" w:hint="eastAsia"/>
          <w:b/>
          <w:sz w:val="28"/>
          <w:szCs w:val="28"/>
        </w:rPr>
        <w:t xml:space="preserve">2 </w:t>
      </w:r>
      <w:r w:rsidRPr="00100AEA">
        <w:rPr>
          <w:rFonts w:ascii="Times New Roman" w:eastAsia="方正仿宋_GBK" w:hAnsi="Times New Roman" w:cs="宋体"/>
          <w:b/>
          <w:sz w:val="28"/>
          <w:szCs w:val="28"/>
        </w:rPr>
        <w:t xml:space="preserve"> </w:t>
      </w:r>
      <w:r w:rsidRPr="00100AEA">
        <w:rPr>
          <w:rFonts w:ascii="Times New Roman" w:eastAsia="方正仿宋_GBK" w:hAnsi="Times New Roman" w:cs="宋体" w:hint="eastAsia"/>
          <w:b/>
          <w:sz w:val="28"/>
          <w:szCs w:val="28"/>
        </w:rPr>
        <w:t>车用柴油产品检验检测项目及依据</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869"/>
        <w:gridCol w:w="2439"/>
        <w:gridCol w:w="2297"/>
        <w:gridCol w:w="801"/>
      </w:tblGrid>
      <w:tr w:rsidR="0083305C" w:rsidRPr="00100AEA">
        <w:trPr>
          <w:trHeight w:val="510"/>
          <w:jc w:val="center"/>
        </w:trPr>
        <w:tc>
          <w:tcPr>
            <w:tcW w:w="670" w:type="pct"/>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产品类别</w:t>
            </w:r>
          </w:p>
        </w:tc>
        <w:tc>
          <w:tcPr>
            <w:tcW w:w="1092" w:type="pct"/>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检验检测项目</w:t>
            </w:r>
          </w:p>
        </w:tc>
        <w:tc>
          <w:tcPr>
            <w:tcW w:w="1426" w:type="pct"/>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检验检测依据</w:t>
            </w:r>
          </w:p>
        </w:tc>
        <w:tc>
          <w:tcPr>
            <w:tcW w:w="1343" w:type="pct"/>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检验检测方法</w:t>
            </w:r>
          </w:p>
        </w:tc>
        <w:tc>
          <w:tcPr>
            <w:tcW w:w="468" w:type="pct"/>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备注</w:t>
            </w:r>
          </w:p>
        </w:tc>
      </w:tr>
      <w:tr w:rsidR="0083305C" w:rsidRPr="00100AEA">
        <w:trPr>
          <w:trHeight w:val="510"/>
          <w:jc w:val="center"/>
        </w:trPr>
        <w:tc>
          <w:tcPr>
            <w:tcW w:w="670" w:type="pct"/>
            <w:vMerge w:val="restar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车用柴油</w:t>
            </w: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硫含量</w:t>
            </w:r>
          </w:p>
        </w:tc>
        <w:tc>
          <w:tcPr>
            <w:tcW w:w="1426" w:type="pct"/>
            <w:vMerge w:val="restar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w:t>
            </w:r>
            <w:r w:rsidRPr="00100AEA">
              <w:rPr>
                <w:rFonts w:ascii="Times New Roman" w:eastAsia="方正仿宋_GBK" w:hAnsi="Times New Roman" w:cs="宋体" w:hint="eastAsia"/>
                <w:sz w:val="24"/>
                <w:szCs w:val="24"/>
              </w:rPr>
              <w:t xml:space="preserve"> </w:t>
            </w:r>
            <w:r w:rsidRPr="00100AEA">
              <w:rPr>
                <w:rFonts w:ascii="Times New Roman" w:eastAsia="方正仿宋_GBK" w:hAnsi="Times New Roman" w:cs="宋体"/>
                <w:sz w:val="24"/>
                <w:szCs w:val="24"/>
              </w:rPr>
              <w:t>19147-2016</w:t>
            </w:r>
          </w:p>
        </w:tc>
        <w:tc>
          <w:tcPr>
            <w:tcW w:w="1343" w:type="pct"/>
            <w:vAlign w:val="center"/>
          </w:tcPr>
          <w:p w:rsidR="0083305C" w:rsidRPr="00100AEA" w:rsidRDefault="00D277CA">
            <w:pPr>
              <w:shd w:val="clear" w:color="auto" w:fill="FFFFFF"/>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SH/T 0689</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83305C" w:rsidRPr="00100AEA">
        <w:trPr>
          <w:trHeight w:val="510"/>
          <w:jc w:val="center"/>
        </w:trPr>
        <w:tc>
          <w:tcPr>
            <w:tcW w:w="670"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酸度</w:t>
            </w:r>
          </w:p>
        </w:tc>
        <w:tc>
          <w:tcPr>
            <w:tcW w:w="1426"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343"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GB/T 258</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83305C" w:rsidRPr="00100AEA">
        <w:trPr>
          <w:trHeight w:val="510"/>
          <w:jc w:val="center"/>
        </w:trPr>
        <w:tc>
          <w:tcPr>
            <w:tcW w:w="670"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密度</w:t>
            </w:r>
          </w:p>
        </w:tc>
        <w:tc>
          <w:tcPr>
            <w:tcW w:w="1426"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343" w:type="pct"/>
            <w:vAlign w:val="center"/>
          </w:tcPr>
          <w:p w:rsidR="0083305C" w:rsidRPr="00100AEA" w:rsidRDefault="00D277CA">
            <w:pPr>
              <w:pStyle w:val="TimesNewRoman"/>
              <w:spacing w:line="300" w:lineRule="exact"/>
              <w:ind w:firstLineChars="0" w:firstLine="0"/>
              <w:jc w:val="center"/>
              <w:rPr>
                <w:rFonts w:ascii="Times New Roman" w:eastAsia="方正仿宋_GBK" w:hAnsi="Times New Roman" w:cs="宋体"/>
                <w:color w:val="auto"/>
                <w:sz w:val="24"/>
                <w:szCs w:val="24"/>
              </w:rPr>
            </w:pPr>
            <w:r w:rsidRPr="00100AEA">
              <w:rPr>
                <w:rFonts w:ascii="Times New Roman" w:eastAsia="方正仿宋_GBK" w:hAnsi="Times New Roman" w:cs="宋体"/>
                <w:color w:val="auto"/>
                <w:sz w:val="24"/>
                <w:szCs w:val="24"/>
              </w:rPr>
              <w:t>GB/T 1884</w:t>
            </w:r>
          </w:p>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GB/T 1885</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83305C" w:rsidRPr="00100AEA">
        <w:trPr>
          <w:trHeight w:val="510"/>
          <w:jc w:val="center"/>
        </w:trPr>
        <w:tc>
          <w:tcPr>
            <w:tcW w:w="670"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水含量</w:t>
            </w:r>
          </w:p>
        </w:tc>
        <w:tc>
          <w:tcPr>
            <w:tcW w:w="1426"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343"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GB/T 260</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83305C" w:rsidRPr="00100AEA">
        <w:trPr>
          <w:trHeight w:val="510"/>
          <w:jc w:val="center"/>
        </w:trPr>
        <w:tc>
          <w:tcPr>
            <w:tcW w:w="670"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运动粘度</w:t>
            </w:r>
          </w:p>
        </w:tc>
        <w:tc>
          <w:tcPr>
            <w:tcW w:w="1426"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343"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GB/T 265</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83305C" w:rsidRPr="00100AEA">
        <w:trPr>
          <w:trHeight w:val="510"/>
          <w:jc w:val="center"/>
        </w:trPr>
        <w:tc>
          <w:tcPr>
            <w:tcW w:w="670"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闪点（闭口）</w:t>
            </w:r>
          </w:p>
        </w:tc>
        <w:tc>
          <w:tcPr>
            <w:tcW w:w="1426"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343"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GB/T 261</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83305C" w:rsidRPr="00100AEA">
        <w:trPr>
          <w:trHeight w:val="510"/>
          <w:jc w:val="center"/>
        </w:trPr>
        <w:tc>
          <w:tcPr>
            <w:tcW w:w="670"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092"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铜片腐蚀</w:t>
            </w:r>
          </w:p>
        </w:tc>
        <w:tc>
          <w:tcPr>
            <w:tcW w:w="1426" w:type="pct"/>
            <w:vMerge/>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343" w:type="pct"/>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sz w:val="24"/>
                <w:szCs w:val="24"/>
              </w:rPr>
              <w:t>GB/T 5096</w:t>
            </w:r>
          </w:p>
        </w:tc>
        <w:tc>
          <w:tcPr>
            <w:tcW w:w="468" w:type="pct"/>
            <w:vAlign w:val="center"/>
          </w:tcPr>
          <w:p w:rsidR="0083305C" w:rsidRPr="00100AEA" w:rsidRDefault="0083305C">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bl>
    <w:p w:rsidR="0083305C" w:rsidRPr="00100AEA" w:rsidRDefault="00D277CA">
      <w:pPr>
        <w:spacing w:line="576" w:lineRule="exact"/>
        <w:ind w:firstLine="560"/>
        <w:rPr>
          <w:rFonts w:ascii="Times New Roman" w:eastAsia="方正黑体_GBK" w:hAnsi="Times New Roman" w:cs="宋体"/>
          <w:sz w:val="32"/>
          <w:szCs w:val="32"/>
        </w:rPr>
      </w:pPr>
      <w:r w:rsidRPr="00100AEA">
        <w:rPr>
          <w:rFonts w:ascii="Times New Roman" w:eastAsia="方正黑体_GBK" w:hAnsi="Times New Roman" w:cs="宋体" w:hint="eastAsia"/>
          <w:sz w:val="32"/>
          <w:szCs w:val="32"/>
        </w:rPr>
        <w:t>三、监督抽查结果分析</w:t>
      </w:r>
    </w:p>
    <w:p w:rsidR="0083305C" w:rsidRPr="00100AEA" w:rsidRDefault="00D277CA">
      <w:pPr>
        <w:spacing w:line="576" w:lineRule="exact"/>
        <w:ind w:firstLine="560"/>
        <w:rPr>
          <w:rFonts w:ascii="Times New Roman" w:eastAsia="方正楷体_GBK" w:hAnsi="Times New Roman" w:cs="宋体"/>
          <w:bCs/>
          <w:color w:val="000000"/>
          <w:kern w:val="0"/>
          <w:sz w:val="32"/>
          <w:szCs w:val="32"/>
        </w:rPr>
      </w:pPr>
      <w:r w:rsidRPr="00100AEA">
        <w:rPr>
          <w:rFonts w:ascii="Times New Roman" w:eastAsia="方正楷体_GBK" w:hAnsi="Times New Roman" w:cs="宋体" w:hint="eastAsia"/>
          <w:bCs/>
          <w:color w:val="000000"/>
          <w:kern w:val="0"/>
          <w:sz w:val="32"/>
          <w:szCs w:val="32"/>
        </w:rPr>
        <w:t>（一）综合分析</w:t>
      </w:r>
    </w:p>
    <w:p w:rsidR="0083305C" w:rsidRPr="00100AEA" w:rsidRDefault="00D277CA">
      <w:pPr>
        <w:spacing w:line="576" w:lineRule="exact"/>
        <w:ind w:firstLineChars="214" w:firstLine="687"/>
        <w:rPr>
          <w:rFonts w:ascii="Times New Roman" w:eastAsia="方正仿宋_GBK" w:hAnsi="Times New Roman" w:cs="宋体"/>
          <w:b/>
          <w:sz w:val="32"/>
          <w:szCs w:val="32"/>
        </w:rPr>
      </w:pPr>
      <w:r w:rsidRPr="00100AEA">
        <w:rPr>
          <w:rFonts w:ascii="Times New Roman" w:eastAsia="方正仿宋_GBK" w:hAnsi="Times New Roman" w:cs="宋体" w:hint="eastAsia"/>
          <w:b/>
          <w:sz w:val="32"/>
          <w:szCs w:val="32"/>
        </w:rPr>
        <w:t>1.</w:t>
      </w:r>
      <w:r w:rsidRPr="00100AEA">
        <w:rPr>
          <w:rFonts w:ascii="Times New Roman" w:eastAsia="方正仿宋_GBK" w:hAnsi="Times New Roman" w:cs="宋体" w:hint="eastAsia"/>
          <w:b/>
          <w:sz w:val="32"/>
          <w:szCs w:val="32"/>
        </w:rPr>
        <w:t>按样品来源</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本次监督抽查样品均从实体店抽取，共抽取</w:t>
      </w:r>
      <w:r w:rsidRPr="00100AEA">
        <w:rPr>
          <w:rFonts w:ascii="Times New Roman" w:eastAsia="方正仿宋_GBK" w:hAnsi="Times New Roman" w:cs="宋体" w:hint="eastAsia"/>
          <w:sz w:val="32"/>
          <w:szCs w:val="32"/>
        </w:rPr>
        <w:t>30</w:t>
      </w:r>
      <w:r w:rsidRPr="00100AEA">
        <w:rPr>
          <w:rFonts w:ascii="Times New Roman" w:eastAsia="方正仿宋_GBK" w:hAnsi="Times New Roman" w:cs="宋体" w:hint="eastAsia"/>
          <w:sz w:val="32"/>
          <w:szCs w:val="32"/>
        </w:rPr>
        <w:t>家加油站</w:t>
      </w:r>
      <w:r w:rsidRPr="00100AEA">
        <w:rPr>
          <w:rFonts w:ascii="Times New Roman" w:eastAsia="方正仿宋_GBK" w:hAnsi="Times New Roman" w:cs="宋体" w:hint="eastAsia"/>
          <w:sz w:val="32"/>
          <w:szCs w:val="32"/>
        </w:rPr>
        <w:t>30</w:t>
      </w:r>
      <w:r w:rsidRPr="00100AEA">
        <w:rPr>
          <w:rFonts w:ascii="Times New Roman" w:eastAsia="方正仿宋_GBK" w:hAnsi="Times New Roman" w:cs="宋体" w:hint="eastAsia"/>
          <w:sz w:val="32"/>
          <w:szCs w:val="32"/>
        </w:rPr>
        <w:t>批次车用柴油，其中</w:t>
      </w:r>
      <w:r w:rsidRPr="00100AEA">
        <w:rPr>
          <w:rFonts w:ascii="Times New Roman" w:eastAsia="方正仿宋_GBK" w:hAnsi="Times New Roman" w:cs="宋体" w:hint="eastAsia"/>
          <w:sz w:val="32"/>
          <w:szCs w:val="32"/>
        </w:rPr>
        <w:t>1</w:t>
      </w:r>
      <w:r w:rsidRPr="00100AEA">
        <w:rPr>
          <w:rFonts w:ascii="Times New Roman" w:eastAsia="方正仿宋_GBK" w:hAnsi="Times New Roman" w:cs="宋体" w:hint="eastAsia"/>
          <w:sz w:val="32"/>
          <w:szCs w:val="32"/>
        </w:rPr>
        <w:t>批次产品不合格。</w:t>
      </w:r>
    </w:p>
    <w:p w:rsidR="0083305C" w:rsidRPr="00100AEA" w:rsidRDefault="00D277CA">
      <w:pPr>
        <w:widowControl/>
        <w:shd w:val="clear" w:color="auto" w:fill="FFFFFF"/>
        <w:spacing w:line="576" w:lineRule="exact"/>
        <w:ind w:firstLineChars="200" w:firstLine="562"/>
        <w:jc w:val="center"/>
        <w:rPr>
          <w:rFonts w:ascii="Times New Roman" w:eastAsia="方正仿宋_GBK" w:hAnsi="Times New Roman" w:cs="宋体"/>
          <w:b/>
          <w:sz w:val="28"/>
          <w:szCs w:val="28"/>
        </w:rPr>
      </w:pPr>
      <w:r w:rsidRPr="00100AEA">
        <w:rPr>
          <w:rFonts w:ascii="Times New Roman" w:eastAsia="方正仿宋_GBK" w:hAnsi="Times New Roman" w:cs="宋体"/>
          <w:b/>
          <w:sz w:val="28"/>
          <w:szCs w:val="28"/>
        </w:rPr>
        <w:t>表</w:t>
      </w:r>
      <w:r w:rsidRPr="00100AEA">
        <w:rPr>
          <w:rFonts w:ascii="Times New Roman" w:eastAsia="方正仿宋_GBK" w:hAnsi="Times New Roman" w:cs="宋体" w:hint="eastAsia"/>
          <w:b/>
          <w:sz w:val="28"/>
          <w:szCs w:val="28"/>
        </w:rPr>
        <w:t xml:space="preserve">3 </w:t>
      </w:r>
      <w:r w:rsidRPr="00100AEA">
        <w:rPr>
          <w:rFonts w:ascii="Times New Roman" w:eastAsia="方正仿宋_GBK" w:hAnsi="Times New Roman" w:cs="宋体"/>
          <w:b/>
          <w:sz w:val="28"/>
          <w:szCs w:val="28"/>
        </w:rPr>
        <w:t xml:space="preserve"> </w:t>
      </w:r>
      <w:r w:rsidRPr="00100AEA">
        <w:rPr>
          <w:rFonts w:ascii="Times New Roman" w:eastAsia="方正仿宋_GBK" w:hAnsi="Times New Roman" w:cs="宋体"/>
          <w:b/>
          <w:sz w:val="28"/>
          <w:szCs w:val="28"/>
        </w:rPr>
        <w:t>不同</w:t>
      </w:r>
      <w:r w:rsidRPr="00100AEA">
        <w:rPr>
          <w:rFonts w:ascii="Times New Roman" w:eastAsia="方正仿宋_GBK" w:hAnsi="Times New Roman" w:cs="宋体" w:hint="eastAsia"/>
          <w:b/>
          <w:sz w:val="28"/>
          <w:szCs w:val="28"/>
        </w:rPr>
        <w:t>样品来源抽检</w:t>
      </w:r>
      <w:r w:rsidRPr="00100AEA">
        <w:rPr>
          <w:rFonts w:ascii="Times New Roman" w:eastAsia="方正仿宋_GBK" w:hAnsi="Times New Roman" w:cs="宋体"/>
          <w:b/>
          <w:sz w:val="28"/>
          <w:szCs w:val="28"/>
        </w:rPr>
        <w:t>结果</w:t>
      </w:r>
    </w:p>
    <w:tbl>
      <w:tblPr>
        <w:tblW w:w="88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8"/>
        <w:gridCol w:w="1985"/>
        <w:gridCol w:w="1843"/>
        <w:gridCol w:w="1763"/>
        <w:gridCol w:w="1475"/>
      </w:tblGrid>
      <w:tr w:rsidR="0083305C" w:rsidRPr="00100AEA">
        <w:trPr>
          <w:trHeight w:val="510"/>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color w:val="000000"/>
                <w:kern w:val="0"/>
              </w:rPr>
              <w:t>产品类别</w:t>
            </w: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抽查地区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样品数（批次）</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color w:val="000000"/>
                <w:kern w:val="0"/>
              </w:rPr>
              <w:t>合格</w:t>
            </w:r>
            <w:r w:rsidRPr="00100AEA">
              <w:rPr>
                <w:rFonts w:ascii="Times New Roman" w:eastAsia="方正黑体_GBK" w:hAnsi="Times New Roman" w:cs="宋体" w:hint="eastAsia"/>
                <w:color w:val="000000"/>
                <w:kern w:val="0"/>
              </w:rPr>
              <w:t>样品数</w:t>
            </w:r>
          </w:p>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（批次）</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黑体_GBK" w:hAnsi="Times New Roman" w:cs="宋体"/>
                <w:color w:val="000000"/>
                <w:kern w:val="0"/>
              </w:rPr>
            </w:pPr>
            <w:r w:rsidRPr="00100AEA">
              <w:rPr>
                <w:rFonts w:ascii="Times New Roman" w:eastAsia="方正黑体_GBK" w:hAnsi="Times New Roman" w:cs="宋体"/>
                <w:color w:val="000000"/>
                <w:kern w:val="0"/>
              </w:rPr>
              <w:t>合格率</w:t>
            </w:r>
            <w:r w:rsidRPr="00100AEA">
              <w:rPr>
                <w:rFonts w:ascii="Times New Roman" w:eastAsia="方正黑体_GBK" w:hAnsi="Times New Roman" w:cs="宋体" w:hint="eastAsia"/>
                <w:color w:val="000000"/>
                <w:kern w:val="0"/>
              </w:rPr>
              <w:t>（</w:t>
            </w:r>
            <w:r w:rsidRPr="00100AEA">
              <w:rPr>
                <w:rFonts w:ascii="Times New Roman" w:eastAsia="方正黑体_GBK" w:hAnsi="Times New Roman" w:cs="宋体"/>
                <w:color w:val="000000"/>
                <w:kern w:val="0"/>
              </w:rPr>
              <w:t>%</w:t>
            </w:r>
            <w:r w:rsidRPr="00100AEA">
              <w:rPr>
                <w:rFonts w:ascii="Times New Roman" w:eastAsia="方正黑体_GBK" w:hAnsi="Times New Roman" w:cs="宋体" w:hint="eastAsia"/>
                <w:color w:val="000000"/>
                <w:kern w:val="0"/>
              </w:rPr>
              <w:t>）</w:t>
            </w:r>
          </w:p>
        </w:tc>
      </w:tr>
      <w:tr w:rsidR="0083305C" w:rsidRPr="00100AEA">
        <w:trPr>
          <w:trHeight w:val="510"/>
          <w:jc w:val="center"/>
        </w:trPr>
        <w:tc>
          <w:tcPr>
            <w:tcW w:w="1738" w:type="dxa"/>
            <w:vMerge w:val="restart"/>
            <w:tcBorders>
              <w:top w:val="nil"/>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车用柴油</w:t>
            </w:r>
          </w:p>
        </w:tc>
        <w:tc>
          <w:tcPr>
            <w:tcW w:w="19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亭湖区</w:t>
            </w:r>
          </w:p>
        </w:tc>
        <w:tc>
          <w:tcPr>
            <w:tcW w:w="1843"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763"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47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盐都区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盐南高新区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盐城经济开发区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大丰区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东台市</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射阳县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66.7</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Cs w:val="21"/>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建湖县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Cs w:val="21"/>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阜宁县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Cs w:val="21"/>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响水县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bookmarkStart w:id="0" w:name="_GoBack"/>
            <w:bookmarkEnd w:id="0"/>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r w:rsidR="0083305C" w:rsidRPr="00100AEA">
        <w:trPr>
          <w:trHeight w:val="510"/>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83305C">
            <w:pPr>
              <w:spacing w:line="300" w:lineRule="exact"/>
              <w:jc w:val="center"/>
              <w:rPr>
                <w:rFonts w:ascii="Times New Roman" w:eastAsia="方正仿宋_GBK" w:hAnsi="Times New Roman" w:cs="宋体"/>
                <w:szCs w:val="21"/>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滨海县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5</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5</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300"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100</w:t>
            </w:r>
          </w:p>
        </w:tc>
      </w:tr>
    </w:tbl>
    <w:p w:rsidR="0083305C" w:rsidRPr="00100AEA" w:rsidRDefault="00D277CA">
      <w:pPr>
        <w:spacing w:line="576" w:lineRule="exact"/>
        <w:ind w:firstLineChars="200" w:firstLine="643"/>
        <w:rPr>
          <w:rFonts w:ascii="Times New Roman" w:eastAsia="方正仿宋_GBK" w:hAnsi="Times New Roman" w:cs="宋体"/>
          <w:b/>
          <w:sz w:val="32"/>
          <w:szCs w:val="32"/>
        </w:rPr>
      </w:pPr>
      <w:r w:rsidRPr="00100AEA">
        <w:rPr>
          <w:rFonts w:ascii="Times New Roman" w:eastAsia="方正仿宋_GBK" w:hAnsi="Times New Roman" w:cs="宋体" w:hint="eastAsia"/>
          <w:b/>
          <w:sz w:val="32"/>
          <w:szCs w:val="32"/>
        </w:rPr>
        <w:t>2.</w:t>
      </w:r>
      <w:r w:rsidRPr="00100AEA">
        <w:rPr>
          <w:rFonts w:ascii="Times New Roman" w:eastAsia="方正仿宋_GBK" w:hAnsi="Times New Roman" w:cs="宋体" w:hint="eastAsia"/>
          <w:b/>
          <w:sz w:val="32"/>
          <w:szCs w:val="32"/>
        </w:rPr>
        <w:t>按产品类别</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本次监督抽查样品均为执行标准</w:t>
      </w:r>
      <w:r w:rsidRPr="00100AEA">
        <w:rPr>
          <w:rFonts w:ascii="Times New Roman" w:eastAsia="方正仿宋_GBK" w:hAnsi="Times New Roman" w:cs="宋体" w:hint="eastAsia"/>
          <w:sz w:val="32"/>
          <w:szCs w:val="32"/>
        </w:rPr>
        <w:t>GB 19147-2016</w:t>
      </w:r>
      <w:r w:rsidRPr="00100AEA">
        <w:rPr>
          <w:rFonts w:ascii="Times New Roman" w:eastAsia="方正仿宋_GBK" w:hAnsi="Times New Roman" w:cs="宋体" w:hint="eastAsia"/>
          <w:sz w:val="32"/>
          <w:szCs w:val="32"/>
        </w:rPr>
        <w:t>《车用柴油》的</w:t>
      </w:r>
      <w:r w:rsidRPr="00100AEA">
        <w:rPr>
          <w:rFonts w:ascii="Times New Roman" w:eastAsia="方正仿宋_GBK" w:hAnsi="Times New Roman" w:cs="宋体" w:hint="eastAsia"/>
          <w:sz w:val="32"/>
          <w:szCs w:val="32"/>
        </w:rPr>
        <w:t>0</w:t>
      </w:r>
      <w:r w:rsidRPr="00100AEA">
        <w:rPr>
          <w:rFonts w:ascii="Times New Roman" w:eastAsia="方正仿宋_GBK" w:hAnsi="Times New Roman" w:cs="宋体" w:hint="eastAsia"/>
          <w:sz w:val="32"/>
          <w:szCs w:val="32"/>
        </w:rPr>
        <w:t>号车用柴油。具体产品合格率见表</w:t>
      </w:r>
      <w:r w:rsidRPr="00100AEA">
        <w:rPr>
          <w:rFonts w:ascii="Times New Roman" w:eastAsia="方正仿宋_GBK" w:hAnsi="Times New Roman" w:cs="宋体" w:hint="eastAsia"/>
          <w:sz w:val="32"/>
          <w:szCs w:val="32"/>
        </w:rPr>
        <w:t>4</w:t>
      </w:r>
      <w:r w:rsidRPr="00100AEA">
        <w:rPr>
          <w:rFonts w:ascii="Times New Roman" w:eastAsia="方正仿宋_GBK" w:hAnsi="Times New Roman" w:cs="宋体" w:hint="eastAsia"/>
          <w:sz w:val="32"/>
          <w:szCs w:val="32"/>
        </w:rPr>
        <w:t>。</w:t>
      </w:r>
    </w:p>
    <w:p w:rsidR="0083305C" w:rsidRPr="00100AEA" w:rsidRDefault="00D277CA">
      <w:pPr>
        <w:widowControl/>
        <w:shd w:val="clear" w:color="auto" w:fill="FFFFFF"/>
        <w:spacing w:line="576" w:lineRule="exact"/>
        <w:ind w:firstLineChars="200" w:firstLine="562"/>
        <w:jc w:val="center"/>
        <w:rPr>
          <w:rFonts w:ascii="Times New Roman" w:eastAsia="方正仿宋_GBK" w:hAnsi="Times New Roman" w:cs="宋体"/>
          <w:b/>
          <w:sz w:val="28"/>
          <w:szCs w:val="28"/>
        </w:rPr>
      </w:pPr>
      <w:r w:rsidRPr="00100AEA">
        <w:rPr>
          <w:rFonts w:ascii="Times New Roman" w:eastAsia="方正仿宋_GBK" w:hAnsi="Times New Roman" w:cs="宋体"/>
          <w:b/>
          <w:sz w:val="28"/>
          <w:szCs w:val="28"/>
        </w:rPr>
        <w:t>表</w:t>
      </w:r>
      <w:r w:rsidRPr="00100AEA">
        <w:rPr>
          <w:rFonts w:ascii="Times New Roman" w:eastAsia="方正仿宋_GBK" w:hAnsi="Times New Roman" w:cs="宋体" w:hint="eastAsia"/>
          <w:b/>
          <w:sz w:val="28"/>
          <w:szCs w:val="28"/>
        </w:rPr>
        <w:t xml:space="preserve">4 </w:t>
      </w:r>
      <w:r w:rsidRPr="00100AEA">
        <w:rPr>
          <w:rFonts w:ascii="Times New Roman" w:eastAsia="方正仿宋_GBK" w:hAnsi="Times New Roman" w:cs="宋体"/>
          <w:b/>
          <w:sz w:val="28"/>
          <w:szCs w:val="28"/>
        </w:rPr>
        <w:t xml:space="preserve"> </w:t>
      </w:r>
      <w:r w:rsidRPr="00100AEA">
        <w:rPr>
          <w:rFonts w:ascii="Times New Roman" w:eastAsia="方正仿宋_GBK" w:hAnsi="Times New Roman" w:cs="宋体"/>
          <w:b/>
          <w:sz w:val="28"/>
          <w:szCs w:val="28"/>
        </w:rPr>
        <w:t>不同产品类别</w:t>
      </w:r>
      <w:r w:rsidRPr="00100AEA">
        <w:rPr>
          <w:rFonts w:ascii="Times New Roman" w:eastAsia="方正仿宋_GBK" w:hAnsi="Times New Roman" w:cs="宋体" w:hint="eastAsia"/>
          <w:b/>
          <w:sz w:val="28"/>
          <w:szCs w:val="28"/>
        </w:rPr>
        <w:t>抽检</w:t>
      </w:r>
      <w:r w:rsidRPr="00100AEA">
        <w:rPr>
          <w:rFonts w:ascii="Times New Roman" w:eastAsia="方正仿宋_GBK" w:hAnsi="Times New Roman" w:cs="宋体"/>
          <w:b/>
          <w:sz w:val="28"/>
          <w:szCs w:val="28"/>
        </w:rPr>
        <w:t>结果</w:t>
      </w:r>
    </w:p>
    <w:tbl>
      <w:tblPr>
        <w:tblW w:w="88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9"/>
        <w:gridCol w:w="2126"/>
        <w:gridCol w:w="2268"/>
        <w:gridCol w:w="1821"/>
      </w:tblGrid>
      <w:tr w:rsidR="0083305C" w:rsidRPr="00100AEA">
        <w:trPr>
          <w:trHeight w:val="454"/>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产品种类</w:t>
            </w:r>
          </w:p>
        </w:tc>
        <w:tc>
          <w:tcPr>
            <w:tcW w:w="2126"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hint="eastAsia"/>
                <w:color w:val="000000"/>
                <w:kern w:val="0"/>
              </w:rPr>
              <w:t>样品数（批次）</w:t>
            </w:r>
          </w:p>
        </w:tc>
        <w:tc>
          <w:tcPr>
            <w:tcW w:w="2268"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color w:val="000000"/>
                <w:kern w:val="0"/>
              </w:rPr>
              <w:t>合格</w:t>
            </w:r>
            <w:r w:rsidRPr="00100AEA">
              <w:rPr>
                <w:rFonts w:ascii="Times New Roman" w:eastAsia="方正黑体_GBK" w:hAnsi="Times New Roman" w:cs="宋体" w:hint="eastAsia"/>
                <w:color w:val="000000"/>
                <w:kern w:val="0"/>
              </w:rPr>
              <w:t>样品数（批次）</w:t>
            </w:r>
          </w:p>
        </w:tc>
        <w:tc>
          <w:tcPr>
            <w:tcW w:w="1821"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黑体_GBK" w:hAnsi="Times New Roman" w:cs="宋体"/>
                <w:color w:val="000000"/>
                <w:kern w:val="0"/>
              </w:rPr>
            </w:pPr>
            <w:r w:rsidRPr="00100AEA">
              <w:rPr>
                <w:rFonts w:ascii="Times New Roman" w:eastAsia="方正黑体_GBK" w:hAnsi="Times New Roman" w:cs="宋体"/>
                <w:color w:val="000000"/>
                <w:kern w:val="0"/>
              </w:rPr>
              <w:t>合格率</w:t>
            </w:r>
            <w:r w:rsidRPr="00100AEA">
              <w:rPr>
                <w:rFonts w:ascii="Times New Roman" w:eastAsia="方正黑体_GBK" w:hAnsi="Times New Roman" w:cs="宋体" w:hint="eastAsia"/>
                <w:color w:val="000000"/>
                <w:kern w:val="0"/>
              </w:rPr>
              <w:t>（</w:t>
            </w:r>
            <w:r w:rsidRPr="00100AEA">
              <w:rPr>
                <w:rFonts w:ascii="Times New Roman" w:eastAsia="方正黑体_GBK" w:hAnsi="Times New Roman" w:cs="宋体"/>
                <w:color w:val="000000"/>
                <w:kern w:val="0"/>
              </w:rPr>
              <w:t>%</w:t>
            </w:r>
            <w:r w:rsidRPr="00100AEA">
              <w:rPr>
                <w:rFonts w:ascii="Times New Roman" w:eastAsia="方正黑体_GBK" w:hAnsi="Times New Roman" w:cs="宋体" w:hint="eastAsia"/>
                <w:color w:val="000000"/>
                <w:kern w:val="0"/>
              </w:rPr>
              <w:t>）</w:t>
            </w:r>
          </w:p>
        </w:tc>
      </w:tr>
      <w:tr w:rsidR="0083305C" w:rsidRPr="00100AEA">
        <w:trPr>
          <w:trHeight w:val="454"/>
          <w:jc w:val="center"/>
        </w:trPr>
        <w:tc>
          <w:tcPr>
            <w:tcW w:w="2589" w:type="dxa"/>
            <w:tcBorders>
              <w:left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车用柴油（</w:t>
            </w:r>
            <w:r w:rsidRPr="00100AEA">
              <w:rPr>
                <w:rFonts w:ascii="Times New Roman" w:eastAsia="方正仿宋_GBK" w:hAnsi="Times New Roman" w:cs="宋体" w:hint="eastAsia"/>
                <w:sz w:val="24"/>
                <w:szCs w:val="24"/>
              </w:rPr>
              <w:t>0</w:t>
            </w:r>
            <w:r w:rsidRPr="00100AEA">
              <w:rPr>
                <w:rFonts w:ascii="Times New Roman" w:eastAsia="方正仿宋_GBK" w:hAnsi="Times New Roman" w:cs="宋体" w:hint="eastAsia"/>
                <w:sz w:val="24"/>
                <w:szCs w:val="24"/>
              </w:rPr>
              <w:t>号柴油）</w:t>
            </w:r>
          </w:p>
        </w:tc>
        <w:tc>
          <w:tcPr>
            <w:tcW w:w="2126"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30</w:t>
            </w:r>
          </w:p>
        </w:tc>
        <w:tc>
          <w:tcPr>
            <w:tcW w:w="2268"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29</w:t>
            </w:r>
          </w:p>
        </w:tc>
        <w:tc>
          <w:tcPr>
            <w:tcW w:w="1821"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83305C" w:rsidRPr="00100AEA" w:rsidRDefault="00D277CA">
            <w:pPr>
              <w:spacing w:line="576" w:lineRule="exact"/>
              <w:jc w:val="center"/>
              <w:rPr>
                <w:rFonts w:ascii="Times New Roman" w:eastAsia="方正仿宋_GBK" w:hAnsi="Times New Roman" w:cs="宋体"/>
                <w:sz w:val="24"/>
                <w:szCs w:val="24"/>
              </w:rPr>
            </w:pPr>
            <w:r w:rsidRPr="00100AEA">
              <w:rPr>
                <w:rFonts w:ascii="Times New Roman" w:eastAsia="方正仿宋_GBK" w:hAnsi="Times New Roman" w:cs="宋体" w:hint="eastAsia"/>
                <w:sz w:val="24"/>
                <w:szCs w:val="24"/>
              </w:rPr>
              <w:t>96.7</w:t>
            </w:r>
          </w:p>
        </w:tc>
      </w:tr>
    </w:tbl>
    <w:p w:rsidR="0083305C" w:rsidRPr="00100AEA" w:rsidRDefault="00D277CA">
      <w:pPr>
        <w:spacing w:line="576" w:lineRule="exact"/>
        <w:ind w:firstLineChars="200" w:firstLine="640"/>
        <w:rPr>
          <w:rFonts w:ascii="Times New Roman" w:eastAsia="方正楷体_GBK" w:hAnsi="Times New Roman" w:cs="宋体"/>
          <w:bCs/>
          <w:color w:val="000000"/>
          <w:kern w:val="0"/>
          <w:sz w:val="32"/>
          <w:szCs w:val="32"/>
        </w:rPr>
      </w:pPr>
      <w:r w:rsidRPr="00100AEA">
        <w:rPr>
          <w:rFonts w:ascii="Times New Roman" w:eastAsia="方正楷体_GBK" w:hAnsi="Times New Roman" w:cs="宋体" w:hint="eastAsia"/>
          <w:bCs/>
          <w:color w:val="000000"/>
          <w:kern w:val="0"/>
          <w:sz w:val="32"/>
          <w:szCs w:val="32"/>
        </w:rPr>
        <w:t>（二）检验检测项目分析</w:t>
      </w:r>
    </w:p>
    <w:p w:rsidR="0083305C" w:rsidRPr="00100AEA" w:rsidRDefault="00D277CA">
      <w:pPr>
        <w:spacing w:line="576" w:lineRule="exact"/>
        <w:ind w:firstLineChars="214" w:firstLine="687"/>
        <w:rPr>
          <w:rFonts w:ascii="Times New Roman" w:eastAsia="方正仿宋_GBK" w:hAnsi="Times New Roman" w:cs="宋体"/>
          <w:b/>
          <w:sz w:val="32"/>
          <w:szCs w:val="32"/>
        </w:rPr>
      </w:pPr>
      <w:r w:rsidRPr="00100AEA">
        <w:rPr>
          <w:rFonts w:ascii="Times New Roman" w:eastAsia="方正仿宋_GBK" w:hAnsi="Times New Roman" w:cs="宋体" w:hint="eastAsia"/>
          <w:b/>
          <w:sz w:val="32"/>
          <w:szCs w:val="32"/>
        </w:rPr>
        <w:t>1</w:t>
      </w:r>
      <w:r w:rsidRPr="00100AEA">
        <w:rPr>
          <w:rFonts w:ascii="Times New Roman" w:eastAsia="方正仿宋_GBK" w:hAnsi="Times New Roman" w:cs="宋体" w:hint="eastAsia"/>
          <w:b/>
          <w:sz w:val="32"/>
          <w:szCs w:val="32"/>
        </w:rPr>
        <w:t>．检验检测结果</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sz w:val="32"/>
          <w:szCs w:val="32"/>
        </w:rPr>
        <w:t>本次</w:t>
      </w:r>
      <w:r w:rsidRPr="00100AEA">
        <w:rPr>
          <w:rFonts w:ascii="Times New Roman" w:eastAsia="方正仿宋_GBK" w:hAnsi="Times New Roman" w:cs="宋体" w:hint="eastAsia"/>
          <w:sz w:val="32"/>
          <w:szCs w:val="32"/>
        </w:rPr>
        <w:t>监督抽查共抽查车用柴油产品</w:t>
      </w:r>
      <w:r w:rsidRPr="00100AEA">
        <w:rPr>
          <w:rFonts w:ascii="Times New Roman" w:eastAsia="方正仿宋_GBK" w:hAnsi="Times New Roman" w:cs="宋体" w:hint="eastAsia"/>
          <w:sz w:val="32"/>
          <w:szCs w:val="32"/>
        </w:rPr>
        <w:t>30</w:t>
      </w:r>
      <w:r w:rsidRPr="00100AEA">
        <w:rPr>
          <w:rFonts w:ascii="Times New Roman" w:eastAsia="方正仿宋_GBK" w:hAnsi="Times New Roman" w:cs="宋体" w:hint="eastAsia"/>
          <w:sz w:val="32"/>
          <w:szCs w:val="32"/>
        </w:rPr>
        <w:t>批次，其中</w:t>
      </w:r>
      <w:r w:rsidRPr="00100AEA">
        <w:rPr>
          <w:rFonts w:ascii="Times New Roman" w:eastAsia="方正仿宋_GBK" w:hAnsi="Times New Roman" w:cs="宋体" w:hint="eastAsia"/>
          <w:sz w:val="32"/>
          <w:szCs w:val="32"/>
        </w:rPr>
        <w:t>1</w:t>
      </w:r>
      <w:r w:rsidRPr="00100AEA">
        <w:rPr>
          <w:rFonts w:ascii="Times New Roman" w:eastAsia="方正仿宋_GBK" w:hAnsi="Times New Roman" w:cs="宋体" w:hint="eastAsia"/>
          <w:sz w:val="32"/>
          <w:szCs w:val="32"/>
        </w:rPr>
        <w:t>批次不合格，不合格项目为硫含量。</w:t>
      </w:r>
    </w:p>
    <w:p w:rsidR="0083305C" w:rsidRPr="00100AEA" w:rsidRDefault="00D277CA">
      <w:pPr>
        <w:spacing w:line="576" w:lineRule="exact"/>
        <w:ind w:firstLineChars="214" w:firstLine="687"/>
        <w:rPr>
          <w:rFonts w:ascii="Times New Roman" w:eastAsia="方正仿宋_GBK" w:hAnsi="Times New Roman" w:cs="宋体"/>
          <w:b/>
          <w:sz w:val="32"/>
          <w:szCs w:val="32"/>
        </w:rPr>
      </w:pPr>
      <w:r w:rsidRPr="00100AEA">
        <w:rPr>
          <w:rFonts w:ascii="Times New Roman" w:eastAsia="方正仿宋_GBK" w:hAnsi="Times New Roman" w:cs="宋体" w:hint="eastAsia"/>
          <w:b/>
          <w:sz w:val="32"/>
          <w:szCs w:val="32"/>
        </w:rPr>
        <w:t>2</w:t>
      </w:r>
      <w:r w:rsidRPr="00100AEA">
        <w:rPr>
          <w:rFonts w:ascii="Times New Roman" w:eastAsia="方正仿宋_GBK" w:hAnsi="Times New Roman" w:cs="宋体" w:hint="eastAsia"/>
          <w:b/>
          <w:sz w:val="32"/>
          <w:szCs w:val="32"/>
        </w:rPr>
        <w:t>．出现的不合格项目分析</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sz w:val="32"/>
          <w:szCs w:val="32"/>
        </w:rPr>
        <w:t>硫含量不合格。硫含量是柴油产品的重要质量指标</w:t>
      </w:r>
      <w:r w:rsidRPr="00100AEA">
        <w:rPr>
          <w:rFonts w:ascii="Times New Roman" w:eastAsia="方正仿宋_GBK" w:hAnsi="Times New Roman" w:cs="宋体" w:hint="eastAsia"/>
          <w:sz w:val="32"/>
          <w:szCs w:val="32"/>
        </w:rPr>
        <w:t>，柴油中含硫化合物对发动机的工作寿命影响很大，其中活性含硫化合物对金属有直接的腐蚀作用。含硫化合物在气缸内燃烧后生成的氧化硫不仅会严重腐蚀高温区的零部件，还会与气缸壁上的润滑油起反应，加速漆膜和积炭的形成。同时，柴油机排出尾气中的氧化硫还会污染环境。</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不合格的原因可能有以下几点：</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lastRenderedPageBreak/>
        <w:t>（</w:t>
      </w:r>
      <w:r w:rsidRPr="00100AEA">
        <w:rPr>
          <w:rFonts w:ascii="Times New Roman" w:eastAsia="方正仿宋_GBK" w:hAnsi="Times New Roman" w:cs="宋体" w:hint="eastAsia"/>
          <w:sz w:val="32"/>
          <w:szCs w:val="32"/>
        </w:rPr>
        <w:t>1</w:t>
      </w:r>
      <w:r w:rsidRPr="00100AEA">
        <w:rPr>
          <w:rFonts w:ascii="Times New Roman" w:eastAsia="方正仿宋_GBK" w:hAnsi="Times New Roman" w:cs="宋体" w:hint="eastAsia"/>
          <w:sz w:val="32"/>
          <w:szCs w:val="32"/>
        </w:rPr>
        <w:t>）企业</w:t>
      </w:r>
      <w:r w:rsidRPr="00100AEA">
        <w:rPr>
          <w:rFonts w:ascii="Times New Roman" w:eastAsia="方正仿宋_GBK" w:hAnsi="Times New Roman" w:cs="宋体"/>
          <w:sz w:val="32"/>
          <w:szCs w:val="32"/>
        </w:rPr>
        <w:t>脱硫工艺生产过程控制不严，造成硫含量不合格</w:t>
      </w:r>
      <w:r w:rsidRPr="00100AEA">
        <w:rPr>
          <w:rFonts w:ascii="Times New Roman" w:eastAsia="方正仿宋_GBK" w:hAnsi="Times New Roman" w:cs="宋体" w:hint="eastAsia"/>
          <w:sz w:val="32"/>
          <w:szCs w:val="32"/>
        </w:rPr>
        <w:t>；</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w:t>
      </w:r>
      <w:r w:rsidRPr="00100AEA">
        <w:rPr>
          <w:rFonts w:ascii="Times New Roman" w:eastAsia="方正仿宋_GBK" w:hAnsi="Times New Roman" w:cs="宋体" w:hint="eastAsia"/>
          <w:sz w:val="32"/>
          <w:szCs w:val="32"/>
        </w:rPr>
        <w:t>2</w:t>
      </w:r>
      <w:r w:rsidRPr="00100AEA">
        <w:rPr>
          <w:rFonts w:ascii="Times New Roman" w:eastAsia="方正仿宋_GBK" w:hAnsi="Times New Roman" w:cs="宋体" w:hint="eastAsia"/>
          <w:sz w:val="32"/>
          <w:szCs w:val="32"/>
        </w:rPr>
        <w:t>）以低等级的柴油冒充国</w:t>
      </w:r>
      <w:r w:rsidRPr="00100AEA">
        <w:rPr>
          <w:rFonts w:ascii="Times New Roman" w:eastAsia="方正仿宋_GBK" w:hAnsi="Times New Roman" w:cs="宋体" w:hint="eastAsia"/>
          <w:sz w:val="32"/>
          <w:szCs w:val="32"/>
        </w:rPr>
        <w:t>VI</w:t>
      </w:r>
      <w:r w:rsidRPr="00100AEA">
        <w:rPr>
          <w:rFonts w:ascii="Times New Roman" w:eastAsia="方正仿宋_GBK" w:hAnsi="Times New Roman" w:cs="宋体" w:hint="eastAsia"/>
          <w:sz w:val="32"/>
          <w:szCs w:val="32"/>
        </w:rPr>
        <w:t>车用柴油。在流通环节车用柴油被非法掺入了不符合标准要求的其他油品。</w:t>
      </w:r>
    </w:p>
    <w:p w:rsidR="0083305C" w:rsidRPr="00100AEA" w:rsidRDefault="00D277CA">
      <w:pPr>
        <w:spacing w:line="576" w:lineRule="exact"/>
        <w:rPr>
          <w:rFonts w:ascii="Times New Roman" w:eastAsia="方正黑体_GBK" w:hAnsi="Times New Roman" w:cs="宋体"/>
          <w:sz w:val="32"/>
          <w:szCs w:val="32"/>
        </w:rPr>
      </w:pPr>
      <w:r w:rsidRPr="00100AEA">
        <w:rPr>
          <w:rFonts w:ascii="Times New Roman" w:eastAsia="方正仿宋_GBK" w:hAnsi="Times New Roman" w:cs="宋体" w:hint="eastAsia"/>
          <w:sz w:val="32"/>
          <w:szCs w:val="32"/>
        </w:rPr>
        <w:t xml:space="preserve">    </w:t>
      </w:r>
      <w:r w:rsidRPr="00100AEA">
        <w:rPr>
          <w:rFonts w:ascii="Times New Roman" w:eastAsia="方正黑体_GBK" w:hAnsi="Times New Roman" w:cs="宋体" w:hint="eastAsia"/>
          <w:sz w:val="32"/>
          <w:szCs w:val="32"/>
        </w:rPr>
        <w:t>四、消费提示</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车用柴油的品质需要专门的设备才能检测，消费者在加油时可</w:t>
      </w:r>
      <w:r w:rsidRPr="00100AEA">
        <w:rPr>
          <w:rFonts w:ascii="Times New Roman" w:eastAsia="方正仿宋_GBK" w:hAnsi="Times New Roman" w:cs="宋体" w:hint="eastAsia"/>
          <w:sz w:val="32"/>
          <w:szCs w:val="32"/>
        </w:rPr>
        <w:t>注意以下几个方面：</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1</w:t>
      </w:r>
      <w:r w:rsidRPr="00100AEA">
        <w:rPr>
          <w:rFonts w:ascii="Times New Roman" w:eastAsia="方正仿宋_GBK" w:hAnsi="Times New Roman" w:cs="宋体" w:hint="eastAsia"/>
          <w:sz w:val="32"/>
          <w:szCs w:val="32"/>
        </w:rPr>
        <w:t>.</w:t>
      </w:r>
      <w:r w:rsidRPr="00100AEA">
        <w:rPr>
          <w:rFonts w:ascii="Times New Roman" w:eastAsia="方正仿宋_GBK" w:hAnsi="Times New Roman" w:cs="宋体" w:hint="eastAsia"/>
          <w:sz w:val="32"/>
          <w:szCs w:val="32"/>
        </w:rPr>
        <w:t>看外观。合格柴油油品颜色较浅，呈淡黄色，清澈透明。如发现其颜色发黑、发暗，晃动时可以看到沉淀物或漂浮物，应避免购买。</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2</w:t>
      </w:r>
      <w:r w:rsidRPr="00100AEA">
        <w:rPr>
          <w:rFonts w:ascii="Times New Roman" w:eastAsia="方正仿宋_GBK" w:hAnsi="Times New Roman" w:cs="宋体" w:hint="eastAsia"/>
          <w:sz w:val="32"/>
          <w:szCs w:val="32"/>
        </w:rPr>
        <w:t>.</w:t>
      </w:r>
      <w:r w:rsidRPr="00100AEA">
        <w:rPr>
          <w:rFonts w:ascii="Times New Roman" w:eastAsia="方正仿宋_GBK" w:hAnsi="Times New Roman" w:cs="宋体" w:hint="eastAsia"/>
          <w:sz w:val="32"/>
          <w:szCs w:val="32"/>
        </w:rPr>
        <w:t>闻气味。正常的柴油无明显刺激性等异味，如有臭味或其它刺激性气味，可能是劣质品。</w:t>
      </w:r>
    </w:p>
    <w:p w:rsidR="0083305C" w:rsidRPr="00100AEA" w:rsidRDefault="00D277CA">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100AEA">
        <w:rPr>
          <w:rFonts w:ascii="Times New Roman" w:eastAsia="方正仿宋_GBK" w:hAnsi="Times New Roman" w:cs="宋体" w:hint="eastAsia"/>
          <w:sz w:val="32"/>
          <w:szCs w:val="32"/>
        </w:rPr>
        <w:t>3</w:t>
      </w:r>
      <w:r w:rsidRPr="00100AEA">
        <w:rPr>
          <w:rFonts w:ascii="Times New Roman" w:eastAsia="方正仿宋_GBK" w:hAnsi="Times New Roman" w:cs="宋体" w:hint="eastAsia"/>
          <w:sz w:val="32"/>
          <w:szCs w:val="32"/>
        </w:rPr>
        <w:t>.</w:t>
      </w:r>
      <w:r w:rsidRPr="00100AEA">
        <w:rPr>
          <w:rFonts w:ascii="Times New Roman" w:eastAsia="方正仿宋_GBK" w:hAnsi="Times New Roman" w:cs="宋体" w:hint="eastAsia"/>
          <w:sz w:val="32"/>
          <w:szCs w:val="32"/>
        </w:rPr>
        <w:t>定点加。应选择正规站点加油，如果因使用油品引起车辆故障，也较容易查找原因</w:t>
      </w:r>
      <w:r w:rsidRPr="00100AEA">
        <w:rPr>
          <w:rFonts w:ascii="Times New Roman" w:eastAsia="方正仿宋_GBK" w:hAnsi="Times New Roman" w:cs="宋体"/>
          <w:sz w:val="32"/>
          <w:szCs w:val="32"/>
        </w:rPr>
        <w:t>。</w:t>
      </w:r>
    </w:p>
    <w:sectPr w:rsidR="0083305C" w:rsidRPr="00100AEA" w:rsidSect="0083305C">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7CA" w:rsidRDefault="00D277CA" w:rsidP="0083305C">
      <w:r>
        <w:separator/>
      </w:r>
    </w:p>
  </w:endnote>
  <w:endnote w:type="continuationSeparator" w:id="0">
    <w:p w:rsidR="00D277CA" w:rsidRDefault="00D277CA" w:rsidP="00833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5C" w:rsidRDefault="0083305C">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83305C" w:rsidRDefault="0083305C">
                <w:pPr>
                  <w:pStyle w:val="a4"/>
                </w:pPr>
                <w:r>
                  <w:rPr>
                    <w:rFonts w:hint="eastAsia"/>
                  </w:rPr>
                  <w:fldChar w:fldCharType="begin"/>
                </w:r>
                <w:r w:rsidR="00D277CA">
                  <w:rPr>
                    <w:rFonts w:hint="eastAsia"/>
                  </w:rPr>
                  <w:instrText xml:space="preserve"> PAGE  \* MERGEFORMAT </w:instrText>
                </w:r>
                <w:r>
                  <w:rPr>
                    <w:rFonts w:hint="eastAsia"/>
                  </w:rPr>
                  <w:fldChar w:fldCharType="separate"/>
                </w:r>
                <w:r w:rsidR="00100AE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7CA" w:rsidRDefault="00D277CA" w:rsidP="0083305C">
      <w:r>
        <w:separator/>
      </w:r>
    </w:p>
  </w:footnote>
  <w:footnote w:type="continuationSeparator" w:id="0">
    <w:p w:rsidR="00D277CA" w:rsidRDefault="00D277CA" w:rsidP="00833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F30"/>
    <w:rsid w:val="00004649"/>
    <w:rsid w:val="000676E9"/>
    <w:rsid w:val="000A6538"/>
    <w:rsid w:val="00100AEA"/>
    <w:rsid w:val="0013233A"/>
    <w:rsid w:val="00170A51"/>
    <w:rsid w:val="001D09DC"/>
    <w:rsid w:val="002352D8"/>
    <w:rsid w:val="00406ED1"/>
    <w:rsid w:val="00443A33"/>
    <w:rsid w:val="00485086"/>
    <w:rsid w:val="00613358"/>
    <w:rsid w:val="006348B6"/>
    <w:rsid w:val="006376F9"/>
    <w:rsid w:val="00723E71"/>
    <w:rsid w:val="00737C3C"/>
    <w:rsid w:val="00832047"/>
    <w:rsid w:val="0083305C"/>
    <w:rsid w:val="00994A9B"/>
    <w:rsid w:val="009B49DC"/>
    <w:rsid w:val="009E5E54"/>
    <w:rsid w:val="00A1250B"/>
    <w:rsid w:val="00A21581"/>
    <w:rsid w:val="00A41BC0"/>
    <w:rsid w:val="00A5359E"/>
    <w:rsid w:val="00A65720"/>
    <w:rsid w:val="00AD2DA7"/>
    <w:rsid w:val="00B4754D"/>
    <w:rsid w:val="00C477DC"/>
    <w:rsid w:val="00C538EA"/>
    <w:rsid w:val="00D277CA"/>
    <w:rsid w:val="00DA0F2C"/>
    <w:rsid w:val="00DA42D2"/>
    <w:rsid w:val="00DC3DCA"/>
    <w:rsid w:val="00DC7F30"/>
    <w:rsid w:val="00E041E2"/>
    <w:rsid w:val="00E264DC"/>
    <w:rsid w:val="00EA1A5A"/>
    <w:rsid w:val="00FD06F9"/>
    <w:rsid w:val="3A253BE6"/>
    <w:rsid w:val="3C5E0950"/>
    <w:rsid w:val="47B50F5B"/>
    <w:rsid w:val="6D1F30F6"/>
    <w:rsid w:val="7E2A6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3305C"/>
    <w:pPr>
      <w:adjustRightInd w:val="0"/>
      <w:snapToGrid w:val="0"/>
      <w:spacing w:line="360" w:lineRule="auto"/>
      <w:ind w:firstLineChars="200" w:firstLine="200"/>
    </w:pPr>
    <w:rPr>
      <w:rFonts w:ascii="Times New Roman" w:eastAsia="宋体" w:hAnsi="Times New Roman" w:cs="Times New Roman"/>
      <w:sz w:val="32"/>
      <w:szCs w:val="32"/>
    </w:rPr>
  </w:style>
  <w:style w:type="paragraph" w:styleId="a4">
    <w:name w:val="footer"/>
    <w:basedOn w:val="a"/>
    <w:link w:val="Char0"/>
    <w:uiPriority w:val="99"/>
    <w:semiHidden/>
    <w:unhideWhenUsed/>
    <w:qFormat/>
    <w:rsid w:val="0083305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305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3305C"/>
    <w:rPr>
      <w:rFonts w:ascii="Times New Roman" w:hAnsi="Times New Roman" w:cs="Times New Roman"/>
      <w:sz w:val="24"/>
      <w:szCs w:val="24"/>
    </w:rPr>
  </w:style>
  <w:style w:type="character" w:customStyle="1" w:styleId="Char">
    <w:name w:val="正文文本 Char"/>
    <w:basedOn w:val="a0"/>
    <w:link w:val="a3"/>
    <w:uiPriority w:val="1"/>
    <w:qFormat/>
    <w:rsid w:val="0083305C"/>
    <w:rPr>
      <w:rFonts w:ascii="Times New Roman" w:eastAsia="宋体" w:hAnsi="Times New Roman" w:cs="Times New Roman"/>
      <w:sz w:val="32"/>
      <w:szCs w:val="32"/>
    </w:rPr>
  </w:style>
  <w:style w:type="character" w:customStyle="1" w:styleId="Char1">
    <w:name w:val="页眉 Char"/>
    <w:basedOn w:val="a0"/>
    <w:link w:val="a5"/>
    <w:uiPriority w:val="99"/>
    <w:semiHidden/>
    <w:qFormat/>
    <w:rsid w:val="0083305C"/>
    <w:rPr>
      <w:sz w:val="18"/>
      <w:szCs w:val="18"/>
    </w:rPr>
  </w:style>
  <w:style w:type="character" w:customStyle="1" w:styleId="Char0">
    <w:name w:val="页脚 Char"/>
    <w:basedOn w:val="a0"/>
    <w:link w:val="a4"/>
    <w:uiPriority w:val="99"/>
    <w:semiHidden/>
    <w:qFormat/>
    <w:rsid w:val="0083305C"/>
    <w:rPr>
      <w:sz w:val="18"/>
      <w:szCs w:val="18"/>
    </w:rPr>
  </w:style>
  <w:style w:type="character" w:customStyle="1" w:styleId="TimesNewRomanChar">
    <w:name w:val="正文 + (西文) Times New Roman Char"/>
    <w:link w:val="TimesNewRoman"/>
    <w:uiPriority w:val="99"/>
    <w:qFormat/>
    <w:rsid w:val="0083305C"/>
    <w:rPr>
      <w:rFonts w:ascii="仿宋_GB2312" w:eastAsia="仿宋_GB2312" w:hAnsi="宋体" w:cs="仿宋_GB2312"/>
      <w:color w:val="000000"/>
      <w:sz w:val="28"/>
      <w:szCs w:val="28"/>
    </w:rPr>
  </w:style>
  <w:style w:type="paragraph" w:customStyle="1" w:styleId="TimesNewRoman">
    <w:name w:val="正文 + (西文) Times New Roman"/>
    <w:basedOn w:val="a6"/>
    <w:link w:val="TimesNewRomanChar"/>
    <w:uiPriority w:val="99"/>
    <w:qFormat/>
    <w:rsid w:val="0083305C"/>
    <w:pPr>
      <w:widowControl/>
      <w:spacing w:line="360" w:lineRule="auto"/>
      <w:ind w:firstLineChars="200" w:firstLine="560"/>
      <w:jc w:val="left"/>
    </w:pPr>
    <w:rPr>
      <w:rFonts w:ascii="仿宋_GB2312" w:eastAsia="仿宋_GB2312" w:hAnsi="宋体" w:cs="仿宋_GB2312"/>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6746556-696110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2020-12-09T06:32:00Z</dcterms:created>
  <dcterms:modified xsi:type="dcterms:W3CDTF">2021-07-27T07:09:00Z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