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B51" w:rsidRDefault="003D4FC9">
      <w:pPr>
        <w:rPr>
          <w:rFonts w:ascii="黑体" w:eastAsia="黑体" w:hAnsi="黑体"/>
          <w:sz w:val="32"/>
          <w:szCs w:val="32"/>
        </w:rPr>
      </w:pPr>
      <w:r>
        <w:rPr>
          <w:rFonts w:ascii="黑体" w:eastAsia="黑体" w:hAnsi="黑体" w:hint="eastAsia"/>
          <w:sz w:val="32"/>
          <w:szCs w:val="32"/>
        </w:rPr>
        <w:t>附件2</w:t>
      </w:r>
    </w:p>
    <w:p w:rsidR="004C1B51" w:rsidRDefault="003D4FC9">
      <w:pPr>
        <w:spacing w:before="140" w:after="140" w:line="480" w:lineRule="auto"/>
        <w:jc w:val="center"/>
        <w:rPr>
          <w:rFonts w:ascii="方正小标宋简体" w:eastAsia="方正小标宋简体"/>
          <w:sz w:val="32"/>
          <w:szCs w:val="32"/>
        </w:rPr>
      </w:pPr>
      <w:r>
        <w:rPr>
          <w:rFonts w:ascii="方正小标宋简体" w:eastAsia="方正小标宋简体" w:hAnsiTheme="majorEastAsia" w:cstheme="majorEastAsia" w:hint="eastAsia"/>
          <w:sz w:val="44"/>
          <w:szCs w:val="44"/>
        </w:rPr>
        <w:t>部分不合格项目的小知识</w:t>
      </w:r>
      <w:bookmarkStart w:id="0" w:name="_GoBack"/>
      <w:bookmarkEnd w:id="0"/>
    </w:p>
    <w:p w:rsidR="00626CA5" w:rsidRDefault="00626CA5" w:rsidP="00626CA5">
      <w:pPr>
        <w:pStyle w:val="a9"/>
        <w:numPr>
          <w:ilvl w:val="0"/>
          <w:numId w:val="7"/>
        </w:numPr>
        <w:spacing w:line="560" w:lineRule="exact"/>
        <w:rPr>
          <w:rFonts w:ascii="黑体" w:eastAsia="黑体" w:hAnsi="黑体" w:cs="Arial"/>
          <w:color w:val="333333"/>
          <w:sz w:val="32"/>
          <w:szCs w:val="32"/>
          <w:shd w:val="clear" w:color="auto" w:fill="FFFFFF"/>
        </w:rPr>
      </w:pPr>
      <w:r>
        <w:rPr>
          <w:rFonts w:ascii="黑体" w:eastAsia="黑体" w:hAnsi="黑体" w:cs="Arial" w:hint="eastAsia"/>
          <w:color w:val="333333"/>
          <w:sz w:val="32"/>
          <w:szCs w:val="32"/>
          <w:shd w:val="clear" w:color="auto" w:fill="FFFFFF"/>
        </w:rPr>
        <w:t>铝的</w:t>
      </w:r>
      <w:r w:rsidRPr="00626CA5">
        <w:rPr>
          <w:rFonts w:ascii="黑体" w:eastAsia="黑体" w:hAnsi="黑体" w:cs="Arial" w:hint="eastAsia"/>
          <w:color w:val="333333"/>
          <w:sz w:val="32"/>
          <w:szCs w:val="32"/>
          <w:shd w:val="clear" w:color="auto" w:fill="FFFFFF"/>
        </w:rPr>
        <w:t>残留量(干样品，以Al计）</w:t>
      </w:r>
    </w:p>
    <w:p w:rsidR="00626CA5" w:rsidRPr="00626CA5" w:rsidRDefault="00626CA5" w:rsidP="00626CA5">
      <w:pPr>
        <w:pStyle w:val="a9"/>
        <w:spacing w:before="0" w:beforeAutospacing="0" w:after="0" w:afterAutospacing="0" w:line="560" w:lineRule="exact"/>
        <w:ind w:firstLineChars="200" w:firstLine="640"/>
        <w:jc w:val="both"/>
        <w:rPr>
          <w:rFonts w:ascii="仿宋_GB2312" w:eastAsia="仿宋_GB2312" w:hAnsi="仿宋" w:cs="Arial"/>
          <w:color w:val="333333"/>
          <w:sz w:val="32"/>
          <w:szCs w:val="32"/>
          <w:shd w:val="clear" w:color="auto" w:fill="FFFFFF"/>
        </w:rPr>
      </w:pPr>
      <w:bookmarkStart w:id="1" w:name="OLE_LINK1"/>
      <w:r w:rsidRPr="00626CA5">
        <w:rPr>
          <w:rFonts w:ascii="仿宋_GB2312" w:eastAsia="仿宋_GB2312" w:hAnsi="仿宋" w:cs="Arial" w:hint="eastAsia"/>
          <w:color w:val="333333"/>
          <w:sz w:val="32"/>
          <w:szCs w:val="32"/>
          <w:shd w:val="clear" w:color="auto" w:fill="FFFFFF"/>
        </w:rPr>
        <w:t xml:space="preserve">食品中的铝主要来源于添加的改良剂和膨松剂(明矾)，其主要成分是硫酸铝钾、硫酸铝铵，加入后使油炸面制品更蓬松。依据GB </w:t>
      </w:r>
      <w:r w:rsidRPr="00626CA5">
        <w:rPr>
          <w:rFonts w:ascii="仿宋_GB2312" w:eastAsia="仿宋_GB2312" w:hAnsi="仿宋" w:cs="Arial"/>
          <w:color w:val="333333"/>
          <w:sz w:val="32"/>
          <w:szCs w:val="32"/>
          <w:shd w:val="clear" w:color="auto" w:fill="FFFFFF"/>
        </w:rPr>
        <w:t>2760-2014</w:t>
      </w:r>
      <w:r w:rsidRPr="00626CA5">
        <w:rPr>
          <w:rFonts w:ascii="仿宋_GB2312" w:eastAsia="仿宋_GB2312" w:hAnsi="仿宋" w:cs="Arial" w:hint="eastAsia"/>
          <w:color w:val="333333"/>
          <w:sz w:val="32"/>
          <w:szCs w:val="32"/>
          <w:shd w:val="clear" w:color="auto" w:fill="FFFFFF"/>
        </w:rPr>
        <w:t>《食品安全国家标准 食品添加剂使用标准》中规定，糕点中</w:t>
      </w:r>
      <w:bookmarkEnd w:id="1"/>
      <w:r w:rsidRPr="00626CA5">
        <w:rPr>
          <w:rFonts w:ascii="仿宋_GB2312" w:eastAsia="仿宋_GB2312" w:hAnsi="仿宋" w:cs="Arial" w:hint="eastAsia"/>
          <w:color w:val="333333"/>
          <w:sz w:val="32"/>
          <w:szCs w:val="32"/>
          <w:shd w:val="clear" w:color="auto" w:fill="FFFFFF"/>
        </w:rPr>
        <w:t>铝的残留量（干样品，以A</w:t>
      </w:r>
      <w:r w:rsidRPr="00626CA5">
        <w:rPr>
          <w:rFonts w:ascii="仿宋_GB2312" w:eastAsia="仿宋_GB2312" w:hAnsi="仿宋" w:cs="Arial"/>
          <w:color w:val="333333"/>
          <w:sz w:val="32"/>
          <w:szCs w:val="32"/>
          <w:shd w:val="clear" w:color="auto" w:fill="FFFFFF"/>
        </w:rPr>
        <w:t>l</w:t>
      </w:r>
      <w:r w:rsidRPr="00626CA5">
        <w:rPr>
          <w:rFonts w:ascii="仿宋_GB2312" w:eastAsia="仿宋_GB2312" w:hAnsi="仿宋" w:cs="Arial" w:hint="eastAsia"/>
          <w:color w:val="333333"/>
          <w:sz w:val="32"/>
          <w:szCs w:val="32"/>
          <w:shd w:val="clear" w:color="auto" w:fill="FFFFFF"/>
        </w:rPr>
        <w:t>计）应≤</w:t>
      </w:r>
      <w:r w:rsidRPr="00626CA5">
        <w:rPr>
          <w:rFonts w:ascii="仿宋_GB2312" w:eastAsia="仿宋_GB2312" w:hAnsi="仿宋" w:cs="Arial"/>
          <w:color w:val="333333"/>
          <w:sz w:val="32"/>
          <w:szCs w:val="32"/>
          <w:shd w:val="clear" w:color="auto" w:fill="FFFFFF"/>
        </w:rPr>
        <w:t>100</w:t>
      </w:r>
      <w:r w:rsidRPr="00626CA5">
        <w:rPr>
          <w:rFonts w:ascii="仿宋_GB2312" w:eastAsia="仿宋_GB2312" w:hAnsi="仿宋" w:cs="Arial" w:hint="eastAsia"/>
          <w:color w:val="333333"/>
          <w:sz w:val="32"/>
          <w:szCs w:val="32"/>
          <w:shd w:val="clear" w:color="auto" w:fill="FFFFFF"/>
        </w:rPr>
        <w:t>mg/</w:t>
      </w:r>
      <w:r w:rsidRPr="00626CA5">
        <w:rPr>
          <w:rFonts w:ascii="仿宋_GB2312" w:eastAsia="仿宋_GB2312" w:hAnsi="仿宋" w:cs="Arial"/>
          <w:color w:val="333333"/>
          <w:sz w:val="32"/>
          <w:szCs w:val="32"/>
          <w:shd w:val="clear" w:color="auto" w:fill="FFFFFF"/>
        </w:rPr>
        <w:t>kg</w:t>
      </w:r>
      <w:r w:rsidRPr="00626CA5">
        <w:rPr>
          <w:rFonts w:ascii="仿宋_GB2312" w:eastAsia="仿宋_GB2312" w:hAnsi="仿宋" w:cs="Arial" w:hint="eastAsia"/>
          <w:color w:val="333333"/>
          <w:sz w:val="32"/>
          <w:szCs w:val="32"/>
          <w:shd w:val="clear" w:color="auto" w:fill="FFFFFF"/>
        </w:rPr>
        <w:t>。体内铝的积累可减退记忆力、抑制免疫功能及阻碍神经传导。人为过量添加含铝泡打粉在糕点中作为膨松剂使其组织口感更加蓬松，可能是造成食品中铝残留量超标的主要原因。</w:t>
      </w:r>
    </w:p>
    <w:p w:rsidR="00626CA5" w:rsidRDefault="00626CA5" w:rsidP="00FB24DD">
      <w:pPr>
        <w:pStyle w:val="a9"/>
        <w:numPr>
          <w:ilvl w:val="0"/>
          <w:numId w:val="7"/>
        </w:numPr>
        <w:spacing w:line="560" w:lineRule="exact"/>
        <w:rPr>
          <w:rFonts w:ascii="黑体" w:eastAsia="黑体" w:hAnsi="黑体" w:cs="Arial"/>
          <w:color w:val="333333"/>
          <w:sz w:val="32"/>
          <w:szCs w:val="32"/>
          <w:shd w:val="clear" w:color="auto" w:fill="FFFFFF"/>
        </w:rPr>
      </w:pPr>
      <w:r w:rsidRPr="00626CA5">
        <w:rPr>
          <w:rFonts w:ascii="黑体" w:eastAsia="黑体" w:hAnsi="黑体" w:cs="Arial" w:hint="eastAsia"/>
          <w:color w:val="333333"/>
          <w:sz w:val="32"/>
          <w:szCs w:val="32"/>
          <w:shd w:val="clear" w:color="auto" w:fill="FFFFFF"/>
        </w:rPr>
        <w:t>菌落总数</w:t>
      </w:r>
    </w:p>
    <w:p w:rsidR="00626CA5" w:rsidRPr="00626CA5" w:rsidRDefault="00626CA5" w:rsidP="00626CA5">
      <w:pPr>
        <w:pStyle w:val="a9"/>
        <w:spacing w:before="0" w:beforeAutospacing="0" w:after="0" w:afterAutospacing="0" w:line="560" w:lineRule="exact"/>
        <w:ind w:firstLineChars="200" w:firstLine="640"/>
        <w:jc w:val="both"/>
        <w:rPr>
          <w:rFonts w:ascii="仿宋_GB2312" w:eastAsia="仿宋_GB2312" w:hAnsi="仿宋" w:cs="Arial"/>
          <w:color w:val="333333"/>
          <w:sz w:val="32"/>
          <w:szCs w:val="32"/>
          <w:shd w:val="clear" w:color="auto" w:fill="FFFFFF"/>
        </w:rPr>
      </w:pPr>
      <w:r w:rsidRPr="00626CA5">
        <w:rPr>
          <w:rFonts w:ascii="仿宋_GB2312" w:eastAsia="仿宋_GB2312" w:hAnsi="仿宋" w:cs="Arial"/>
          <w:color w:val="333333"/>
          <w:sz w:val="32"/>
          <w:szCs w:val="32"/>
          <w:shd w:val="clear" w:color="auto" w:fill="FFFFFF"/>
        </w:rPr>
        <w:t>菌落总数是指示性微生物指标</w:t>
      </w:r>
      <w:r w:rsidRPr="00626CA5">
        <w:rPr>
          <w:rFonts w:ascii="仿宋_GB2312" w:eastAsia="仿宋_GB2312" w:hAnsi="仿宋" w:cs="Arial" w:hint="eastAsia"/>
          <w:color w:val="333333"/>
          <w:sz w:val="32"/>
          <w:szCs w:val="32"/>
          <w:shd w:val="clear" w:color="auto" w:fill="FFFFFF"/>
        </w:rPr>
        <w:t>，</w:t>
      </w:r>
      <w:r w:rsidRPr="00626CA5">
        <w:rPr>
          <w:rFonts w:ascii="仿宋_GB2312" w:eastAsia="仿宋_GB2312" w:hAnsi="仿宋" w:cs="Arial"/>
          <w:color w:val="333333"/>
          <w:sz w:val="32"/>
          <w:szCs w:val="32"/>
          <w:shd w:val="clear" w:color="auto" w:fill="FFFFFF"/>
        </w:rPr>
        <w:t>主要用来评价食品清洁度，反映食品在生产过程中是否符合卫生要求。</w:t>
      </w:r>
      <w:r w:rsidRPr="00626CA5">
        <w:rPr>
          <w:rFonts w:ascii="仿宋_GB2312" w:eastAsia="仿宋_GB2312" w:hAnsi="仿宋" w:cs="Arial" w:hint="eastAsia"/>
          <w:color w:val="333333"/>
          <w:sz w:val="32"/>
          <w:szCs w:val="32"/>
          <w:shd w:val="clear" w:color="auto" w:fill="FFFFFF"/>
        </w:rPr>
        <w:t>依据</w:t>
      </w:r>
      <w:r w:rsidRPr="00626CA5">
        <w:rPr>
          <w:rFonts w:ascii="仿宋_GB2312" w:eastAsia="仿宋_GB2312" w:hAnsi="仿宋" w:cs="Arial"/>
          <w:color w:val="333333"/>
          <w:sz w:val="32"/>
          <w:szCs w:val="32"/>
          <w:shd w:val="clear" w:color="auto" w:fill="FFFFFF"/>
        </w:rPr>
        <w:t>GB 27</w:t>
      </w:r>
      <w:r w:rsidRPr="00626CA5">
        <w:rPr>
          <w:rFonts w:ascii="仿宋_GB2312" w:eastAsia="仿宋_GB2312" w:hAnsi="仿宋" w:cs="Arial" w:hint="eastAsia"/>
          <w:color w:val="333333"/>
          <w:sz w:val="32"/>
          <w:szCs w:val="32"/>
          <w:shd w:val="clear" w:color="auto" w:fill="FFFFFF"/>
        </w:rPr>
        <w:t>17—</w:t>
      </w:r>
      <w:r w:rsidRPr="00626CA5">
        <w:rPr>
          <w:rFonts w:ascii="仿宋_GB2312" w:eastAsia="仿宋_GB2312" w:hAnsi="仿宋" w:cs="Arial"/>
          <w:color w:val="333333"/>
          <w:sz w:val="32"/>
          <w:szCs w:val="32"/>
          <w:shd w:val="clear" w:color="auto" w:fill="FFFFFF"/>
        </w:rPr>
        <w:t>201</w:t>
      </w:r>
      <w:r w:rsidRPr="00626CA5">
        <w:rPr>
          <w:rFonts w:ascii="仿宋_GB2312" w:eastAsia="仿宋_GB2312" w:hAnsi="仿宋" w:cs="Arial" w:hint="eastAsia"/>
          <w:color w:val="333333"/>
          <w:sz w:val="32"/>
          <w:szCs w:val="32"/>
          <w:shd w:val="clear" w:color="auto" w:fill="FFFFFF"/>
        </w:rPr>
        <w:t>8</w:t>
      </w:r>
      <w:r w:rsidRPr="00626CA5">
        <w:rPr>
          <w:rFonts w:ascii="仿宋_GB2312" w:eastAsia="仿宋_GB2312" w:hAnsi="仿宋" w:cs="Arial"/>
          <w:color w:val="333333"/>
          <w:sz w:val="32"/>
          <w:szCs w:val="32"/>
          <w:shd w:val="clear" w:color="auto" w:fill="FFFFFF"/>
        </w:rPr>
        <w:t xml:space="preserve">《食品安全国家标准 </w:t>
      </w:r>
      <w:r w:rsidRPr="00626CA5">
        <w:rPr>
          <w:rFonts w:ascii="仿宋_GB2312" w:eastAsia="仿宋_GB2312" w:hAnsi="仿宋" w:cs="Arial" w:hint="eastAsia"/>
          <w:color w:val="333333"/>
          <w:sz w:val="32"/>
          <w:szCs w:val="32"/>
          <w:shd w:val="clear" w:color="auto" w:fill="FFFFFF"/>
        </w:rPr>
        <w:t>酱油</w:t>
      </w:r>
      <w:r w:rsidRPr="00626CA5">
        <w:rPr>
          <w:rFonts w:ascii="仿宋_GB2312" w:eastAsia="仿宋_GB2312" w:hAnsi="仿宋" w:cs="Arial"/>
          <w:color w:val="333333"/>
          <w:sz w:val="32"/>
          <w:szCs w:val="32"/>
          <w:shd w:val="clear" w:color="auto" w:fill="FFFFFF"/>
        </w:rPr>
        <w:t>》</w:t>
      </w:r>
      <w:r w:rsidRPr="00626CA5">
        <w:rPr>
          <w:rFonts w:ascii="仿宋_GB2312" w:eastAsia="仿宋_GB2312" w:hAnsi="仿宋" w:cs="Arial" w:hint="eastAsia"/>
          <w:color w:val="333333"/>
          <w:sz w:val="32"/>
          <w:szCs w:val="32"/>
          <w:shd w:val="clear" w:color="auto" w:fill="FFFFFF"/>
        </w:rPr>
        <w:t>中</w:t>
      </w:r>
      <w:r w:rsidRPr="00626CA5">
        <w:rPr>
          <w:rFonts w:ascii="仿宋_GB2312" w:eastAsia="仿宋_GB2312" w:hAnsi="仿宋" w:cs="Arial"/>
          <w:color w:val="333333"/>
          <w:sz w:val="32"/>
          <w:szCs w:val="32"/>
          <w:shd w:val="clear" w:color="auto" w:fill="FFFFFF"/>
        </w:rPr>
        <w:t>规定，</w:t>
      </w:r>
      <w:r w:rsidRPr="00626CA5">
        <w:rPr>
          <w:rFonts w:ascii="仿宋_GB2312" w:eastAsia="仿宋_GB2312" w:hAnsi="仿宋" w:cs="Arial" w:hint="eastAsia"/>
          <w:color w:val="333333"/>
          <w:sz w:val="32"/>
          <w:szCs w:val="32"/>
          <w:shd w:val="clear" w:color="auto" w:fill="FFFFFF"/>
        </w:rPr>
        <w:t>酱油</w:t>
      </w:r>
      <w:r w:rsidRPr="00626CA5">
        <w:rPr>
          <w:rFonts w:ascii="仿宋_GB2312" w:eastAsia="仿宋_GB2312" w:hAnsi="仿宋" w:cs="Arial"/>
          <w:color w:val="333333"/>
          <w:sz w:val="32"/>
          <w:szCs w:val="32"/>
          <w:shd w:val="clear" w:color="auto" w:fill="FFFFFF"/>
        </w:rPr>
        <w:t>的菌落总数5次检测结果均不超过</w:t>
      </w:r>
      <w:r w:rsidRPr="00626CA5">
        <w:rPr>
          <w:rFonts w:ascii="仿宋_GB2312" w:eastAsia="仿宋_GB2312" w:hAnsi="仿宋" w:cs="Arial" w:hint="eastAsia"/>
          <w:color w:val="333333"/>
          <w:sz w:val="32"/>
          <w:szCs w:val="32"/>
          <w:shd w:val="clear" w:color="auto" w:fill="FFFFFF"/>
        </w:rPr>
        <w:t>5×104CFU/</w:t>
      </w:r>
      <w:r w:rsidRPr="00626CA5">
        <w:rPr>
          <w:rFonts w:ascii="仿宋_GB2312" w:eastAsia="仿宋_GB2312" w:hAnsi="仿宋" w:cs="Arial"/>
          <w:color w:val="333333"/>
          <w:sz w:val="32"/>
          <w:szCs w:val="32"/>
          <w:shd w:val="clear" w:color="auto" w:fill="FFFFFF"/>
        </w:rPr>
        <w:t>mL</w:t>
      </w:r>
      <w:r w:rsidRPr="00626CA5">
        <w:rPr>
          <w:rFonts w:ascii="仿宋_GB2312" w:eastAsia="仿宋_GB2312" w:hAnsi="仿宋" w:cs="Arial" w:hint="eastAsia"/>
          <w:color w:val="333333"/>
          <w:sz w:val="32"/>
          <w:szCs w:val="32"/>
          <w:shd w:val="clear" w:color="auto" w:fill="FFFFFF"/>
        </w:rPr>
        <w:t>，</w:t>
      </w:r>
      <w:r w:rsidRPr="00626CA5">
        <w:rPr>
          <w:rFonts w:ascii="仿宋_GB2312" w:eastAsia="仿宋_GB2312" w:hAnsi="仿宋" w:cs="Arial"/>
          <w:color w:val="333333"/>
          <w:sz w:val="32"/>
          <w:szCs w:val="32"/>
          <w:shd w:val="clear" w:color="auto" w:fill="FFFFFF"/>
        </w:rPr>
        <w:t>且至少3次检测结果不超过</w:t>
      </w:r>
      <w:r w:rsidRPr="00626CA5">
        <w:rPr>
          <w:rFonts w:ascii="仿宋_GB2312" w:eastAsia="仿宋_GB2312" w:hAnsi="仿宋" w:cs="Arial" w:hint="eastAsia"/>
          <w:color w:val="333333"/>
          <w:sz w:val="32"/>
          <w:szCs w:val="32"/>
          <w:shd w:val="clear" w:color="auto" w:fill="FFFFFF"/>
        </w:rPr>
        <w:t>5×103CFU/</w:t>
      </w:r>
      <w:r w:rsidRPr="00626CA5">
        <w:rPr>
          <w:rFonts w:ascii="仿宋_GB2312" w:eastAsia="仿宋_GB2312" w:hAnsi="仿宋" w:cs="Arial"/>
          <w:color w:val="333333"/>
          <w:sz w:val="32"/>
          <w:szCs w:val="32"/>
          <w:shd w:val="clear" w:color="auto" w:fill="FFFFFF"/>
        </w:rPr>
        <w:t>mL</w:t>
      </w:r>
      <w:r w:rsidRPr="00626CA5">
        <w:rPr>
          <w:rFonts w:ascii="仿宋_GB2312" w:eastAsia="仿宋_GB2312" w:hAnsi="仿宋" w:cs="Arial" w:hint="eastAsia"/>
          <w:color w:val="333333"/>
          <w:sz w:val="32"/>
          <w:szCs w:val="32"/>
          <w:shd w:val="clear" w:color="auto" w:fill="FFFFFF"/>
        </w:rPr>
        <w:t>。</w:t>
      </w:r>
    </w:p>
    <w:p w:rsidR="00626CA5" w:rsidRPr="00626CA5" w:rsidRDefault="00626CA5" w:rsidP="00626CA5">
      <w:pPr>
        <w:pStyle w:val="a9"/>
        <w:spacing w:before="0" w:beforeAutospacing="0" w:after="0" w:afterAutospacing="0" w:line="560" w:lineRule="exact"/>
        <w:ind w:firstLineChars="200" w:firstLine="640"/>
        <w:jc w:val="both"/>
        <w:rPr>
          <w:rFonts w:ascii="仿宋_GB2312" w:eastAsia="仿宋_GB2312" w:hAnsi="仿宋" w:cs="Arial"/>
          <w:color w:val="333333"/>
          <w:sz w:val="32"/>
          <w:szCs w:val="32"/>
          <w:shd w:val="clear" w:color="auto" w:fill="FFFFFF"/>
        </w:rPr>
      </w:pPr>
      <w:r w:rsidRPr="00626CA5">
        <w:rPr>
          <w:rFonts w:ascii="仿宋_GB2312" w:eastAsia="仿宋_GB2312" w:hAnsi="仿宋" w:cs="Arial"/>
          <w:color w:val="333333"/>
          <w:sz w:val="32"/>
          <w:szCs w:val="32"/>
          <w:shd w:val="clear" w:color="auto" w:fill="FFFFFF"/>
        </w:rPr>
        <w:t>食品的菌落总数超标，将会破坏食品的营养成分，加速食品的腐败变质，使食品失去食用价值。</w:t>
      </w:r>
      <w:r w:rsidRPr="00626CA5">
        <w:rPr>
          <w:rFonts w:ascii="仿宋_GB2312" w:eastAsia="仿宋_GB2312" w:hAnsi="仿宋" w:cs="Arial" w:hint="eastAsia"/>
          <w:color w:val="333333"/>
          <w:sz w:val="32"/>
          <w:szCs w:val="32"/>
          <w:shd w:val="clear" w:color="auto" w:fill="FFFFFF"/>
        </w:rPr>
        <w:t>酱油</w:t>
      </w:r>
      <w:r w:rsidRPr="00626CA5">
        <w:rPr>
          <w:rFonts w:ascii="仿宋_GB2312" w:eastAsia="仿宋_GB2312" w:hAnsi="仿宋" w:cs="Arial"/>
          <w:color w:val="333333"/>
          <w:sz w:val="32"/>
          <w:szCs w:val="32"/>
          <w:shd w:val="clear" w:color="auto" w:fill="FFFFFF"/>
        </w:rPr>
        <w:t>菌落总数超标</w:t>
      </w:r>
      <w:r w:rsidRPr="00626CA5">
        <w:rPr>
          <w:rFonts w:ascii="仿宋_GB2312" w:eastAsia="仿宋_GB2312" w:hAnsi="仿宋" w:cs="Arial" w:hint="eastAsia"/>
          <w:color w:val="333333"/>
          <w:sz w:val="32"/>
          <w:szCs w:val="32"/>
          <w:shd w:val="clear" w:color="auto" w:fill="FFFFFF"/>
        </w:rPr>
        <w:t>的原因，可能是个别企业未按要求严格控制生产加工过程的</w:t>
      </w:r>
      <w:r w:rsidRPr="00626CA5">
        <w:rPr>
          <w:rFonts w:ascii="仿宋_GB2312" w:eastAsia="仿宋_GB2312" w:hAnsi="仿宋" w:cs="Arial" w:hint="eastAsia"/>
          <w:color w:val="333333"/>
          <w:sz w:val="32"/>
          <w:szCs w:val="32"/>
          <w:shd w:val="clear" w:color="auto" w:fill="FFFFFF"/>
        </w:rPr>
        <w:lastRenderedPageBreak/>
        <w:t>卫生条件，或者包装容器清洗消毒不到位；还有可能与产品包装密封不严，储运条件控制不当等有关。</w:t>
      </w:r>
    </w:p>
    <w:p w:rsidR="00626CA5" w:rsidRDefault="00626CA5" w:rsidP="00626CA5">
      <w:pPr>
        <w:pStyle w:val="a9"/>
        <w:numPr>
          <w:ilvl w:val="0"/>
          <w:numId w:val="7"/>
        </w:numPr>
        <w:spacing w:line="560" w:lineRule="exact"/>
        <w:rPr>
          <w:rFonts w:ascii="黑体" w:eastAsia="黑体" w:hAnsi="黑体" w:cs="Arial"/>
          <w:color w:val="333333"/>
          <w:sz w:val="32"/>
          <w:szCs w:val="32"/>
          <w:shd w:val="clear" w:color="auto" w:fill="FFFFFF"/>
        </w:rPr>
      </w:pPr>
      <w:r w:rsidRPr="00EA75A8">
        <w:rPr>
          <w:rFonts w:ascii="黑体" w:eastAsia="黑体" w:hAnsi="黑体" w:cs="Arial" w:hint="eastAsia"/>
          <w:color w:val="333333"/>
          <w:sz w:val="32"/>
          <w:szCs w:val="32"/>
          <w:shd w:val="clear" w:color="auto" w:fill="FFFFFF"/>
        </w:rPr>
        <w:t>全氮(以氮计）</w:t>
      </w:r>
    </w:p>
    <w:p w:rsidR="00626CA5" w:rsidRPr="00EA75A8" w:rsidRDefault="00626CA5" w:rsidP="00626CA5">
      <w:pPr>
        <w:pStyle w:val="a9"/>
        <w:spacing w:before="0" w:beforeAutospacing="0" w:after="0" w:afterAutospacing="0" w:line="560" w:lineRule="exact"/>
        <w:ind w:firstLineChars="200" w:firstLine="640"/>
        <w:jc w:val="both"/>
        <w:rPr>
          <w:rFonts w:ascii="黑体" w:eastAsia="黑体" w:hAnsi="黑体" w:cs="Arial"/>
          <w:color w:val="333333"/>
          <w:sz w:val="32"/>
          <w:szCs w:val="32"/>
          <w:shd w:val="clear" w:color="auto" w:fill="FFFFFF"/>
        </w:rPr>
      </w:pPr>
      <w:r w:rsidRPr="00EA75A8">
        <w:rPr>
          <w:rFonts w:ascii="仿宋_GB2312" w:eastAsia="仿宋_GB2312" w:hAnsi="仿宋" w:cs="Arial" w:hint="eastAsia"/>
          <w:color w:val="333333"/>
          <w:sz w:val="32"/>
          <w:szCs w:val="32"/>
          <w:shd w:val="clear" w:color="auto" w:fill="FFFFFF"/>
        </w:rPr>
        <w:t>全氮包括有机氮和无机氮，是影响酱油风味的指标。全氮含量的高低，直接反应酿造酱油的品质好坏。依据</w:t>
      </w:r>
      <w:r w:rsidRPr="00EA75A8">
        <w:rPr>
          <w:rFonts w:ascii="仿宋_GB2312" w:eastAsia="仿宋_GB2312" w:hAnsi="仿宋" w:cs="Arial"/>
          <w:color w:val="333333"/>
          <w:sz w:val="32"/>
          <w:szCs w:val="32"/>
          <w:shd w:val="clear" w:color="auto" w:fill="FFFFFF"/>
        </w:rPr>
        <w:t>《食</w:t>
      </w:r>
      <w:r w:rsidRPr="00EA75A8">
        <w:rPr>
          <w:rFonts w:ascii="仿宋_GB2312" w:eastAsia="仿宋_GB2312" w:hAnsi="仿宋" w:cs="Arial" w:hint="eastAsia"/>
          <w:color w:val="333333"/>
          <w:sz w:val="32"/>
          <w:szCs w:val="32"/>
          <w:shd w:val="clear" w:color="auto" w:fill="FFFFFF"/>
        </w:rPr>
        <w:t>酿造酱油</w:t>
      </w:r>
      <w:r w:rsidRPr="00EA75A8">
        <w:rPr>
          <w:rFonts w:ascii="仿宋_GB2312" w:eastAsia="仿宋_GB2312" w:hAnsi="仿宋" w:cs="Arial"/>
          <w:color w:val="333333"/>
          <w:sz w:val="32"/>
          <w:szCs w:val="32"/>
          <w:shd w:val="clear" w:color="auto" w:fill="FFFFFF"/>
        </w:rPr>
        <w:t>》（GB</w:t>
      </w:r>
      <w:r w:rsidRPr="00EA75A8">
        <w:rPr>
          <w:rFonts w:ascii="仿宋_GB2312" w:eastAsia="仿宋_GB2312" w:hAnsi="仿宋" w:cs="Arial" w:hint="eastAsia"/>
          <w:color w:val="333333"/>
          <w:sz w:val="32"/>
          <w:szCs w:val="32"/>
          <w:shd w:val="clear" w:color="auto" w:fill="FFFFFF"/>
        </w:rPr>
        <w:t>/T</w:t>
      </w:r>
      <w:r w:rsidRPr="00EA75A8">
        <w:rPr>
          <w:rFonts w:ascii="仿宋_GB2312" w:eastAsia="仿宋_GB2312" w:hAnsi="仿宋" w:cs="Arial"/>
          <w:color w:val="333333"/>
          <w:sz w:val="32"/>
          <w:szCs w:val="32"/>
          <w:shd w:val="clear" w:color="auto" w:fill="FFFFFF"/>
        </w:rPr>
        <w:t xml:space="preserve"> </w:t>
      </w:r>
      <w:r w:rsidRPr="00EA75A8">
        <w:rPr>
          <w:rFonts w:ascii="仿宋_GB2312" w:eastAsia="仿宋_GB2312" w:hAnsi="仿宋" w:cs="Arial" w:hint="eastAsia"/>
          <w:color w:val="333333"/>
          <w:sz w:val="32"/>
          <w:szCs w:val="32"/>
          <w:shd w:val="clear" w:color="auto" w:fill="FFFFFF"/>
        </w:rPr>
        <w:t>18186-2000</w:t>
      </w:r>
      <w:r w:rsidRPr="00EA75A8">
        <w:rPr>
          <w:rFonts w:ascii="仿宋_GB2312" w:eastAsia="仿宋_GB2312" w:hAnsi="仿宋" w:cs="Arial"/>
          <w:color w:val="333333"/>
          <w:sz w:val="32"/>
          <w:szCs w:val="32"/>
          <w:shd w:val="clear" w:color="auto" w:fill="FFFFFF"/>
        </w:rPr>
        <w:t>）</w:t>
      </w:r>
      <w:r w:rsidRPr="00EA75A8">
        <w:rPr>
          <w:rFonts w:ascii="仿宋_GB2312" w:eastAsia="仿宋_GB2312" w:hAnsi="仿宋" w:cs="Arial" w:hint="eastAsia"/>
          <w:color w:val="333333"/>
          <w:sz w:val="32"/>
          <w:szCs w:val="32"/>
          <w:shd w:val="clear" w:color="auto" w:fill="FFFFFF"/>
        </w:rPr>
        <w:t>中</w:t>
      </w:r>
      <w:r w:rsidRPr="00EA75A8">
        <w:rPr>
          <w:rFonts w:ascii="仿宋_GB2312" w:eastAsia="仿宋_GB2312" w:hAnsi="仿宋" w:cs="Arial"/>
          <w:color w:val="333333"/>
          <w:sz w:val="32"/>
          <w:szCs w:val="32"/>
          <w:shd w:val="clear" w:color="auto" w:fill="FFFFFF"/>
        </w:rPr>
        <w:t>规定，</w:t>
      </w:r>
      <w:r w:rsidRPr="00EA75A8">
        <w:rPr>
          <w:rFonts w:ascii="仿宋_GB2312" w:eastAsia="仿宋_GB2312" w:hAnsi="仿宋" w:cs="Arial" w:hint="eastAsia"/>
          <w:color w:val="333333"/>
          <w:sz w:val="32"/>
          <w:szCs w:val="32"/>
          <w:shd w:val="clear" w:color="auto" w:fill="FFFFFF"/>
        </w:rPr>
        <w:t>三级低盐固态发酵酱油中全氮的含量应不低于0.80 g/100mL</w:t>
      </w:r>
      <w:r>
        <w:rPr>
          <w:rFonts w:ascii="仿宋_GB2312" w:eastAsia="仿宋_GB2312" w:hAnsi="仿宋" w:cs="Arial" w:hint="eastAsia"/>
          <w:color w:val="333333"/>
          <w:sz w:val="32"/>
          <w:szCs w:val="32"/>
          <w:shd w:val="clear" w:color="auto" w:fill="FFFFFF"/>
        </w:rPr>
        <w:t>。</w:t>
      </w:r>
      <w:r w:rsidRPr="00EA75A8">
        <w:rPr>
          <w:rFonts w:ascii="仿宋_GB2312" w:eastAsia="仿宋_GB2312" w:hAnsi="仿宋" w:cs="Arial" w:hint="eastAsia"/>
          <w:color w:val="333333"/>
          <w:sz w:val="32"/>
          <w:szCs w:val="32"/>
          <w:shd w:val="clear" w:color="auto" w:fill="FFFFFF"/>
        </w:rPr>
        <w:t>全氮的高低</w:t>
      </w:r>
      <w:r w:rsidRPr="00EA75A8">
        <w:rPr>
          <w:rFonts w:ascii="仿宋_GB2312" w:eastAsia="仿宋_GB2312" w:hAnsi="仿宋" w:cs="Arial"/>
          <w:color w:val="333333"/>
          <w:sz w:val="32"/>
          <w:szCs w:val="32"/>
          <w:shd w:val="clear" w:color="auto" w:fill="FFFFFF"/>
        </w:rPr>
        <w:t>将会</w:t>
      </w:r>
      <w:r w:rsidRPr="00EA75A8">
        <w:rPr>
          <w:rFonts w:ascii="仿宋_GB2312" w:eastAsia="仿宋_GB2312" w:hAnsi="仿宋" w:cs="Arial" w:hint="eastAsia"/>
          <w:color w:val="333333"/>
          <w:sz w:val="32"/>
          <w:szCs w:val="32"/>
          <w:shd w:val="clear" w:color="auto" w:fill="FFFFFF"/>
        </w:rPr>
        <w:t>直接影响着酱油</w:t>
      </w:r>
      <w:r w:rsidRPr="00EA75A8">
        <w:rPr>
          <w:rFonts w:ascii="仿宋_GB2312" w:eastAsia="仿宋_GB2312" w:hAnsi="仿宋" w:cs="Arial"/>
          <w:color w:val="333333"/>
          <w:sz w:val="32"/>
          <w:szCs w:val="32"/>
          <w:shd w:val="clear" w:color="auto" w:fill="FFFFFF"/>
        </w:rPr>
        <w:t>的</w:t>
      </w:r>
      <w:r w:rsidRPr="00EA75A8">
        <w:rPr>
          <w:rFonts w:ascii="仿宋_GB2312" w:eastAsia="仿宋_GB2312" w:hAnsi="仿宋" w:cs="Arial" w:hint="eastAsia"/>
          <w:color w:val="333333"/>
          <w:sz w:val="32"/>
          <w:szCs w:val="32"/>
          <w:shd w:val="clear" w:color="auto" w:fill="FFFFFF"/>
        </w:rPr>
        <w:t>风味和</w:t>
      </w:r>
      <w:r w:rsidRPr="00EA75A8">
        <w:rPr>
          <w:rFonts w:ascii="仿宋_GB2312" w:eastAsia="仿宋_GB2312" w:hAnsi="仿宋" w:cs="Arial"/>
          <w:color w:val="333333"/>
          <w:sz w:val="32"/>
          <w:szCs w:val="32"/>
          <w:shd w:val="clear" w:color="auto" w:fill="FFFFFF"/>
        </w:rPr>
        <w:t>营养成分</w:t>
      </w:r>
      <w:r w:rsidRPr="00EA75A8">
        <w:rPr>
          <w:rFonts w:ascii="仿宋_GB2312" w:eastAsia="仿宋_GB2312" w:hAnsi="仿宋" w:cs="Arial" w:hint="eastAsia"/>
          <w:color w:val="333333"/>
          <w:sz w:val="32"/>
          <w:szCs w:val="32"/>
          <w:shd w:val="clear" w:color="auto" w:fill="FFFFFF"/>
        </w:rPr>
        <w:t>。酱油全氮不合格的原因，可能是个别企业发酵工艺控制不到位，或者是稀释过程中加入了过量的水。</w:t>
      </w:r>
    </w:p>
    <w:p w:rsidR="00626CA5" w:rsidRDefault="00626CA5" w:rsidP="00626CA5">
      <w:pPr>
        <w:pStyle w:val="a9"/>
        <w:numPr>
          <w:ilvl w:val="0"/>
          <w:numId w:val="7"/>
        </w:numPr>
        <w:spacing w:line="560" w:lineRule="exact"/>
        <w:rPr>
          <w:rFonts w:ascii="黑体" w:eastAsia="黑体" w:hAnsi="黑体" w:cs="Arial"/>
          <w:color w:val="333333"/>
          <w:sz w:val="32"/>
          <w:szCs w:val="32"/>
          <w:shd w:val="clear" w:color="auto" w:fill="FFFFFF"/>
        </w:rPr>
      </w:pPr>
      <w:r w:rsidRPr="00EA75A8">
        <w:rPr>
          <w:rFonts w:ascii="黑体" w:eastAsia="黑体" w:hAnsi="黑体" w:cs="Arial" w:hint="eastAsia"/>
          <w:color w:val="333333"/>
          <w:sz w:val="32"/>
          <w:szCs w:val="32"/>
          <w:shd w:val="clear" w:color="auto" w:fill="FFFFFF"/>
        </w:rPr>
        <w:t>不挥发酸(以乳酸计)</w:t>
      </w:r>
    </w:p>
    <w:p w:rsidR="00626CA5" w:rsidRPr="00F62EB0" w:rsidRDefault="00626CA5" w:rsidP="00626CA5">
      <w:pPr>
        <w:pStyle w:val="a9"/>
        <w:spacing w:before="0" w:beforeAutospacing="0" w:after="0" w:afterAutospacing="0" w:line="560" w:lineRule="exact"/>
        <w:ind w:firstLineChars="200" w:firstLine="640"/>
        <w:jc w:val="both"/>
        <w:rPr>
          <w:rFonts w:ascii="黑体" w:eastAsia="黑体" w:hAnsi="黑体" w:cs="Arial"/>
          <w:color w:val="333333"/>
          <w:sz w:val="32"/>
          <w:szCs w:val="32"/>
          <w:shd w:val="clear" w:color="auto" w:fill="FFFFFF"/>
        </w:rPr>
      </w:pPr>
      <w:r w:rsidRPr="00F62EB0">
        <w:rPr>
          <w:rFonts w:ascii="仿宋_GB2312" w:eastAsia="仿宋_GB2312" w:hAnsi="仿宋" w:cs="Arial" w:hint="eastAsia"/>
          <w:color w:val="333333"/>
          <w:sz w:val="32"/>
          <w:szCs w:val="32"/>
          <w:shd w:val="clear" w:color="auto" w:fill="FFFFFF"/>
        </w:rPr>
        <w:t>不挥发酸是食醋中总酸的一种，以乳酸为主,可以使食醋的酸味绵长，柔软可口。《酿造食醋》（GB/</w:t>
      </w:r>
      <w:r w:rsidRPr="00F62EB0">
        <w:rPr>
          <w:rFonts w:ascii="仿宋_GB2312" w:eastAsia="仿宋_GB2312" w:hAnsi="仿宋" w:cs="Arial"/>
          <w:color w:val="333333"/>
          <w:sz w:val="32"/>
          <w:szCs w:val="32"/>
          <w:shd w:val="clear" w:color="auto" w:fill="FFFFFF"/>
        </w:rPr>
        <w:t>T 18187-2000</w:t>
      </w:r>
      <w:r w:rsidRPr="00F62EB0">
        <w:rPr>
          <w:rFonts w:ascii="仿宋_GB2312" w:eastAsia="仿宋_GB2312" w:hAnsi="仿宋" w:cs="Arial" w:hint="eastAsia"/>
          <w:color w:val="333333"/>
          <w:sz w:val="32"/>
          <w:szCs w:val="32"/>
          <w:shd w:val="clear" w:color="auto" w:fill="FFFFFF"/>
        </w:rPr>
        <w:t>）中规定，固态发酵食醋中的不挥发酸（以乳酸计）应不少于0.50g/100</w:t>
      </w:r>
      <w:r w:rsidRPr="00F62EB0">
        <w:rPr>
          <w:rFonts w:ascii="仿宋_GB2312" w:eastAsia="仿宋_GB2312" w:hAnsi="仿宋" w:cs="Arial"/>
          <w:color w:val="333333"/>
          <w:sz w:val="32"/>
          <w:szCs w:val="32"/>
          <w:shd w:val="clear" w:color="auto" w:fill="FFFFFF"/>
        </w:rPr>
        <w:t>mL</w:t>
      </w:r>
      <w:r w:rsidRPr="00F62EB0">
        <w:rPr>
          <w:rFonts w:ascii="仿宋_GB2312" w:eastAsia="仿宋_GB2312" w:hAnsi="仿宋" w:cs="Arial" w:hint="eastAsia"/>
          <w:color w:val="333333"/>
          <w:sz w:val="32"/>
          <w:szCs w:val="32"/>
          <w:shd w:val="clear" w:color="auto" w:fill="FFFFFF"/>
        </w:rPr>
        <w:t>。不挥发酸含量不足，在一定程度上会影响食醋的口感和风味。造成不会发酸不合格的原因，可能是生产</w:t>
      </w:r>
      <w:r w:rsidRPr="00F62EB0">
        <w:rPr>
          <w:rFonts w:ascii="仿宋_GB2312" w:eastAsia="仿宋_GB2312" w:hAnsi="仿宋" w:cs="Arial"/>
          <w:color w:val="333333"/>
          <w:sz w:val="32"/>
          <w:szCs w:val="32"/>
          <w:shd w:val="clear" w:color="auto" w:fill="FFFFFF"/>
        </w:rPr>
        <w:t>加工过程中</w:t>
      </w:r>
      <w:r w:rsidRPr="00F62EB0">
        <w:rPr>
          <w:rFonts w:ascii="仿宋_GB2312" w:eastAsia="仿宋_GB2312" w:hAnsi="仿宋" w:cs="Arial" w:hint="eastAsia"/>
          <w:color w:val="333333"/>
          <w:sz w:val="32"/>
          <w:szCs w:val="32"/>
          <w:shd w:val="clear" w:color="auto" w:fill="FFFFFF"/>
        </w:rPr>
        <w:t>发酵</w:t>
      </w:r>
      <w:r w:rsidRPr="00F62EB0">
        <w:rPr>
          <w:rFonts w:ascii="仿宋_GB2312" w:eastAsia="仿宋_GB2312" w:hAnsi="仿宋" w:cs="Arial"/>
          <w:color w:val="333333"/>
          <w:sz w:val="32"/>
          <w:szCs w:val="32"/>
          <w:shd w:val="clear" w:color="auto" w:fill="FFFFFF"/>
        </w:rPr>
        <w:t>工艺控制</w:t>
      </w:r>
      <w:r w:rsidRPr="00F62EB0">
        <w:rPr>
          <w:rFonts w:ascii="仿宋_GB2312" w:eastAsia="仿宋_GB2312" w:hAnsi="仿宋" w:cs="Arial" w:hint="eastAsia"/>
          <w:color w:val="333333"/>
          <w:sz w:val="32"/>
          <w:szCs w:val="32"/>
          <w:shd w:val="clear" w:color="auto" w:fill="FFFFFF"/>
        </w:rPr>
        <w:t>不当</w:t>
      </w:r>
      <w:r w:rsidRPr="00F62EB0">
        <w:rPr>
          <w:rFonts w:ascii="仿宋_GB2312" w:eastAsia="仿宋_GB2312" w:hAnsi="仿宋" w:cs="Arial"/>
          <w:color w:val="333333"/>
          <w:sz w:val="32"/>
          <w:szCs w:val="32"/>
          <w:shd w:val="clear" w:color="auto" w:fill="FFFFFF"/>
        </w:rPr>
        <w:t>。</w:t>
      </w:r>
    </w:p>
    <w:p w:rsidR="00162B7A" w:rsidRDefault="00626CA5" w:rsidP="00626CA5">
      <w:pPr>
        <w:pStyle w:val="a9"/>
        <w:numPr>
          <w:ilvl w:val="0"/>
          <w:numId w:val="7"/>
        </w:numPr>
        <w:spacing w:line="560" w:lineRule="exact"/>
        <w:rPr>
          <w:rFonts w:ascii="黑体" w:eastAsia="黑体" w:hAnsi="黑体" w:cs="Arial"/>
          <w:color w:val="333333"/>
          <w:sz w:val="32"/>
          <w:szCs w:val="32"/>
          <w:shd w:val="clear" w:color="auto" w:fill="FFFFFF"/>
        </w:rPr>
      </w:pPr>
      <w:r w:rsidRPr="00626CA5">
        <w:rPr>
          <w:rFonts w:ascii="黑体" w:eastAsia="黑体" w:hAnsi="黑体" w:cs="Arial" w:hint="eastAsia"/>
          <w:color w:val="333333"/>
          <w:sz w:val="32"/>
          <w:szCs w:val="32"/>
          <w:shd w:val="clear" w:color="auto" w:fill="FFFFFF"/>
        </w:rPr>
        <w:t>界限指标-偏硅酸</w:t>
      </w:r>
    </w:p>
    <w:p w:rsidR="002C3FC8" w:rsidRPr="002C3FC8" w:rsidRDefault="002C3FC8" w:rsidP="002C3FC8">
      <w:pPr>
        <w:pStyle w:val="a9"/>
        <w:spacing w:before="0" w:beforeAutospacing="0" w:after="0" w:afterAutospacing="0" w:line="560" w:lineRule="exact"/>
        <w:ind w:firstLineChars="200" w:firstLine="640"/>
        <w:jc w:val="both"/>
        <w:rPr>
          <w:rFonts w:ascii="仿宋_GB2312" w:eastAsia="仿宋_GB2312" w:hAnsi="仿宋" w:cs="Arial"/>
          <w:color w:val="333333"/>
          <w:sz w:val="32"/>
          <w:szCs w:val="32"/>
          <w:shd w:val="clear" w:color="auto" w:fill="FFFFFF"/>
        </w:rPr>
      </w:pPr>
      <w:r w:rsidRPr="002C3FC8">
        <w:rPr>
          <w:rFonts w:ascii="仿宋_GB2312" w:eastAsia="仿宋_GB2312" w:hAnsi="仿宋" w:cs="Arial" w:hint="eastAsia"/>
          <w:color w:val="333333"/>
          <w:sz w:val="32"/>
          <w:szCs w:val="32"/>
          <w:shd w:val="clear" w:color="auto" w:fill="FFFFFF"/>
        </w:rPr>
        <w:t>偏硅酸中的硅是人体所必需的微量元素，能有效地维持人体的电解质平衡和生理机能。偏硅酸只存在于天然矿泉水中，不能以人工添加的形式加入到饮用水中。偏硅酸含量的</w:t>
      </w:r>
      <w:r w:rsidRPr="002C3FC8">
        <w:rPr>
          <w:rFonts w:ascii="仿宋_GB2312" w:eastAsia="仿宋_GB2312" w:hAnsi="仿宋" w:cs="Arial" w:hint="eastAsia"/>
          <w:color w:val="333333"/>
          <w:sz w:val="32"/>
          <w:szCs w:val="32"/>
          <w:shd w:val="clear" w:color="auto" w:fill="FFFFFF"/>
        </w:rPr>
        <w:lastRenderedPageBreak/>
        <w:t>高低，是我国鉴定天然矿泉水是否达标所采用的重要的界限指标之一。国家标准 GB 8537-2018《食品安全国家标准 饮用天然矿泉水》要求的偏硅酸含量应≥25mg/L，不同产品具体限值要求应依据产品明示质量要求（标签标示）。</w:t>
      </w:r>
    </w:p>
    <w:p w:rsidR="002C3FC8" w:rsidRPr="002C3FC8" w:rsidRDefault="002C3FC8" w:rsidP="002C3FC8">
      <w:pPr>
        <w:pStyle w:val="a9"/>
        <w:spacing w:before="0" w:beforeAutospacing="0" w:after="0" w:afterAutospacing="0" w:line="560" w:lineRule="exact"/>
        <w:ind w:firstLineChars="200" w:firstLine="640"/>
        <w:jc w:val="both"/>
        <w:rPr>
          <w:rFonts w:ascii="仿宋_GB2312" w:eastAsia="仿宋_GB2312" w:hAnsi="仿宋" w:cs="Arial"/>
          <w:color w:val="333333"/>
          <w:sz w:val="32"/>
          <w:szCs w:val="32"/>
          <w:shd w:val="clear" w:color="auto" w:fill="FFFFFF"/>
        </w:rPr>
      </w:pPr>
      <w:r w:rsidRPr="002C3FC8">
        <w:rPr>
          <w:rFonts w:ascii="仿宋_GB2312" w:eastAsia="仿宋_GB2312" w:hAnsi="仿宋" w:cs="Arial" w:hint="eastAsia"/>
          <w:color w:val="333333"/>
          <w:sz w:val="32"/>
          <w:szCs w:val="32"/>
          <w:shd w:val="clear" w:color="auto" w:fill="FFFFFF"/>
        </w:rPr>
        <w:t>天然矿泉水是从地下深处自然涌出的或经钻井采集的，含有一定量的矿物质、微量元素或其他成分，在一定区域内未受污染并采取预防措施避免污染的水；在通常情况下，其化学成分、流量、水温等动态指标在天然周期波动范围内相对稳定。界限指标是天然矿泉水区别于其他饮用水的主要品质指标。天然矿泉水的界限指标不达标的可能原因，一是水处理过度使元素损失；二是水源水受环境、季节等因素影响，界限指标含量波动，最终导致产品中界限指标不达标。</w:t>
      </w:r>
    </w:p>
    <w:p w:rsidR="00626CA5" w:rsidRPr="002C3FC8" w:rsidRDefault="00626CA5" w:rsidP="00626CA5">
      <w:pPr>
        <w:pStyle w:val="a9"/>
        <w:spacing w:line="560" w:lineRule="exact"/>
        <w:ind w:left="720"/>
        <w:rPr>
          <w:rFonts w:ascii="黑体" w:eastAsia="黑体" w:hAnsi="黑体" w:cs="Arial"/>
          <w:color w:val="333333"/>
          <w:sz w:val="32"/>
          <w:szCs w:val="32"/>
          <w:shd w:val="clear" w:color="auto" w:fill="FFFFFF"/>
        </w:rPr>
      </w:pPr>
    </w:p>
    <w:sectPr w:rsidR="00626CA5" w:rsidRPr="002C3F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FAF" w:rsidRDefault="003E2FAF" w:rsidP="00E561B3">
      <w:r>
        <w:separator/>
      </w:r>
    </w:p>
  </w:endnote>
  <w:endnote w:type="continuationSeparator" w:id="0">
    <w:p w:rsidR="003E2FAF" w:rsidRDefault="003E2FAF" w:rsidP="00E5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方正小标宋简体">
    <w:charset w:val="86"/>
    <w:family w:val="auto"/>
    <w:pitch w:val="variable"/>
    <w:sig w:usb0="00000001" w:usb1="080E0000" w:usb2="00000010" w:usb3="00000000" w:csb0="00040000" w:csb1="00000000"/>
  </w:font>
  <w:font w:name="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FAF" w:rsidRDefault="003E2FAF" w:rsidP="00E561B3">
      <w:r>
        <w:separator/>
      </w:r>
    </w:p>
  </w:footnote>
  <w:footnote w:type="continuationSeparator" w:id="0">
    <w:p w:rsidR="003E2FAF" w:rsidRDefault="003E2FAF" w:rsidP="00E5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D5AE5"/>
    <w:multiLevelType w:val="hybridMultilevel"/>
    <w:tmpl w:val="905ED750"/>
    <w:lvl w:ilvl="0" w:tplc="9258E5EE">
      <w:start w:val="1"/>
      <w:numFmt w:val="japaneseCounting"/>
      <w:lvlText w:val="%1、"/>
      <w:lvlJc w:val="left"/>
      <w:pPr>
        <w:ind w:left="3698"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6E56120"/>
    <w:multiLevelType w:val="hybridMultilevel"/>
    <w:tmpl w:val="38160C6A"/>
    <w:lvl w:ilvl="0" w:tplc="861E8FBC">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D72C82"/>
    <w:multiLevelType w:val="hybridMultilevel"/>
    <w:tmpl w:val="B7A0220E"/>
    <w:lvl w:ilvl="0" w:tplc="F1F85FC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D96BA9"/>
    <w:multiLevelType w:val="hybridMultilevel"/>
    <w:tmpl w:val="B0D42F4E"/>
    <w:lvl w:ilvl="0" w:tplc="0B1EFB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95341A8"/>
    <w:multiLevelType w:val="hybridMultilevel"/>
    <w:tmpl w:val="283E1B30"/>
    <w:lvl w:ilvl="0" w:tplc="CC8E19FC">
      <w:start w:val="1"/>
      <w:numFmt w:val="japaneseCounting"/>
      <w:lvlText w:val="%1、"/>
      <w:lvlJc w:val="left"/>
      <w:pPr>
        <w:ind w:left="1312" w:hanging="720"/>
      </w:pPr>
    </w:lvl>
    <w:lvl w:ilvl="1" w:tplc="04090019">
      <w:start w:val="1"/>
      <w:numFmt w:val="lowerLetter"/>
      <w:lvlText w:val="%2)"/>
      <w:lvlJc w:val="left"/>
      <w:pPr>
        <w:ind w:left="1432" w:hanging="420"/>
      </w:pPr>
    </w:lvl>
    <w:lvl w:ilvl="2" w:tplc="0409001B">
      <w:start w:val="1"/>
      <w:numFmt w:val="lowerRoman"/>
      <w:lvlText w:val="%3."/>
      <w:lvlJc w:val="right"/>
      <w:pPr>
        <w:ind w:left="1852" w:hanging="420"/>
      </w:pPr>
    </w:lvl>
    <w:lvl w:ilvl="3" w:tplc="0409000F">
      <w:start w:val="1"/>
      <w:numFmt w:val="decimal"/>
      <w:lvlText w:val="%4."/>
      <w:lvlJc w:val="left"/>
      <w:pPr>
        <w:ind w:left="2272" w:hanging="420"/>
      </w:pPr>
    </w:lvl>
    <w:lvl w:ilvl="4" w:tplc="04090019">
      <w:start w:val="1"/>
      <w:numFmt w:val="lowerLetter"/>
      <w:lvlText w:val="%5)"/>
      <w:lvlJc w:val="left"/>
      <w:pPr>
        <w:ind w:left="2692" w:hanging="420"/>
      </w:pPr>
    </w:lvl>
    <w:lvl w:ilvl="5" w:tplc="0409001B">
      <w:start w:val="1"/>
      <w:numFmt w:val="lowerRoman"/>
      <w:lvlText w:val="%6."/>
      <w:lvlJc w:val="right"/>
      <w:pPr>
        <w:ind w:left="3112" w:hanging="420"/>
      </w:pPr>
    </w:lvl>
    <w:lvl w:ilvl="6" w:tplc="0409000F">
      <w:start w:val="1"/>
      <w:numFmt w:val="decimal"/>
      <w:lvlText w:val="%7."/>
      <w:lvlJc w:val="left"/>
      <w:pPr>
        <w:ind w:left="3532" w:hanging="420"/>
      </w:pPr>
    </w:lvl>
    <w:lvl w:ilvl="7" w:tplc="04090019">
      <w:start w:val="1"/>
      <w:numFmt w:val="lowerLetter"/>
      <w:lvlText w:val="%8)"/>
      <w:lvlJc w:val="left"/>
      <w:pPr>
        <w:ind w:left="3952" w:hanging="420"/>
      </w:pPr>
    </w:lvl>
    <w:lvl w:ilvl="8" w:tplc="0409001B">
      <w:start w:val="1"/>
      <w:numFmt w:val="lowerRoman"/>
      <w:lvlText w:val="%9."/>
      <w:lvlJc w:val="right"/>
      <w:pPr>
        <w:ind w:left="4372" w:hanging="420"/>
      </w:pPr>
    </w:lvl>
  </w:abstractNum>
  <w:abstractNum w:abstractNumId="5" w15:restartNumberingAfterBreak="0">
    <w:nsid w:val="5EE24287"/>
    <w:multiLevelType w:val="hybridMultilevel"/>
    <w:tmpl w:val="A3009F26"/>
    <w:lvl w:ilvl="0" w:tplc="5E64B33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0B5A2A"/>
    <w:multiLevelType w:val="singleLevel"/>
    <w:tmpl w:val="10AE6542"/>
    <w:lvl w:ilvl="0">
      <w:start w:val="1"/>
      <w:numFmt w:val="chineseCounting"/>
      <w:suff w:val="nothing"/>
      <w:lvlText w:val="%1、"/>
      <w:lvlJc w:val="left"/>
      <w:rPr>
        <w:rFonts w:hint="eastAsia"/>
        <w:lang w:val="en-US"/>
      </w:rPr>
    </w:lvl>
  </w:abstractNum>
  <w:abstractNum w:abstractNumId="7" w15:restartNumberingAfterBreak="0">
    <w:nsid w:val="75631F97"/>
    <w:multiLevelType w:val="multilevel"/>
    <w:tmpl w:val="75631F97"/>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7"/>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BED"/>
    <w:rsid w:val="00005EF0"/>
    <w:rsid w:val="0001727D"/>
    <w:rsid w:val="0003649B"/>
    <w:rsid w:val="00046FBD"/>
    <w:rsid w:val="000517E4"/>
    <w:rsid w:val="000550D5"/>
    <w:rsid w:val="00081891"/>
    <w:rsid w:val="00085FF8"/>
    <w:rsid w:val="000925E7"/>
    <w:rsid w:val="000A0F8A"/>
    <w:rsid w:val="000A32C1"/>
    <w:rsid w:val="000A3378"/>
    <w:rsid w:val="000A7222"/>
    <w:rsid w:val="000B3F19"/>
    <w:rsid w:val="000D6200"/>
    <w:rsid w:val="000D70E3"/>
    <w:rsid w:val="000E0F50"/>
    <w:rsid w:val="000E5AE6"/>
    <w:rsid w:val="001012E8"/>
    <w:rsid w:val="00104425"/>
    <w:rsid w:val="0011743F"/>
    <w:rsid w:val="00126F63"/>
    <w:rsid w:val="00162B7A"/>
    <w:rsid w:val="0018348D"/>
    <w:rsid w:val="00185AC2"/>
    <w:rsid w:val="001B2AD4"/>
    <w:rsid w:val="001D3E37"/>
    <w:rsid w:val="002123CF"/>
    <w:rsid w:val="002136DD"/>
    <w:rsid w:val="00214DA1"/>
    <w:rsid w:val="002155BA"/>
    <w:rsid w:val="00216D51"/>
    <w:rsid w:val="00221B73"/>
    <w:rsid w:val="0022479D"/>
    <w:rsid w:val="00230D2C"/>
    <w:rsid w:val="00234FD3"/>
    <w:rsid w:val="00243853"/>
    <w:rsid w:val="00260B10"/>
    <w:rsid w:val="00266F4A"/>
    <w:rsid w:val="00283412"/>
    <w:rsid w:val="002A7481"/>
    <w:rsid w:val="002C3FC8"/>
    <w:rsid w:val="002C638C"/>
    <w:rsid w:val="002E1E12"/>
    <w:rsid w:val="002F208D"/>
    <w:rsid w:val="002F5FF9"/>
    <w:rsid w:val="00307AA1"/>
    <w:rsid w:val="00335FE0"/>
    <w:rsid w:val="00336393"/>
    <w:rsid w:val="00362B19"/>
    <w:rsid w:val="0036418A"/>
    <w:rsid w:val="00373F45"/>
    <w:rsid w:val="00375CC1"/>
    <w:rsid w:val="0039082E"/>
    <w:rsid w:val="0039321B"/>
    <w:rsid w:val="003A2585"/>
    <w:rsid w:val="003B2A74"/>
    <w:rsid w:val="003D2C28"/>
    <w:rsid w:val="003D3F2D"/>
    <w:rsid w:val="003D4FC9"/>
    <w:rsid w:val="003E2FAF"/>
    <w:rsid w:val="003E74F0"/>
    <w:rsid w:val="00425109"/>
    <w:rsid w:val="00494309"/>
    <w:rsid w:val="004A1CD4"/>
    <w:rsid w:val="004A25C4"/>
    <w:rsid w:val="004A638B"/>
    <w:rsid w:val="004A6BB8"/>
    <w:rsid w:val="004B1176"/>
    <w:rsid w:val="004B383D"/>
    <w:rsid w:val="004B5963"/>
    <w:rsid w:val="004C1B51"/>
    <w:rsid w:val="004E403C"/>
    <w:rsid w:val="004E71F2"/>
    <w:rsid w:val="004F2E11"/>
    <w:rsid w:val="005020F4"/>
    <w:rsid w:val="00514C71"/>
    <w:rsid w:val="00520B13"/>
    <w:rsid w:val="00524191"/>
    <w:rsid w:val="005264D7"/>
    <w:rsid w:val="00536BBB"/>
    <w:rsid w:val="00542F80"/>
    <w:rsid w:val="00543C5D"/>
    <w:rsid w:val="00580142"/>
    <w:rsid w:val="00580533"/>
    <w:rsid w:val="0058259E"/>
    <w:rsid w:val="00594F24"/>
    <w:rsid w:val="00596AA2"/>
    <w:rsid w:val="00596ACF"/>
    <w:rsid w:val="005A0866"/>
    <w:rsid w:val="005B146D"/>
    <w:rsid w:val="005D1441"/>
    <w:rsid w:val="005E59D1"/>
    <w:rsid w:val="00601AEF"/>
    <w:rsid w:val="00606A79"/>
    <w:rsid w:val="0060780D"/>
    <w:rsid w:val="00613C8C"/>
    <w:rsid w:val="00617906"/>
    <w:rsid w:val="006241BB"/>
    <w:rsid w:val="00626CA5"/>
    <w:rsid w:val="0063142F"/>
    <w:rsid w:val="00666537"/>
    <w:rsid w:val="00676EF4"/>
    <w:rsid w:val="00686C72"/>
    <w:rsid w:val="00695646"/>
    <w:rsid w:val="006B45F0"/>
    <w:rsid w:val="006C5DAD"/>
    <w:rsid w:val="006D5FEB"/>
    <w:rsid w:val="006E16CF"/>
    <w:rsid w:val="006E5A58"/>
    <w:rsid w:val="006F0BB0"/>
    <w:rsid w:val="006F2573"/>
    <w:rsid w:val="006F4FBF"/>
    <w:rsid w:val="006F5E74"/>
    <w:rsid w:val="006F773A"/>
    <w:rsid w:val="0071384E"/>
    <w:rsid w:val="00713FC7"/>
    <w:rsid w:val="00731865"/>
    <w:rsid w:val="007420C0"/>
    <w:rsid w:val="007447A7"/>
    <w:rsid w:val="00747027"/>
    <w:rsid w:val="00750CF1"/>
    <w:rsid w:val="007547CA"/>
    <w:rsid w:val="00754B0E"/>
    <w:rsid w:val="00762A7B"/>
    <w:rsid w:val="007A48C6"/>
    <w:rsid w:val="007D01EC"/>
    <w:rsid w:val="007D2E66"/>
    <w:rsid w:val="007F78A4"/>
    <w:rsid w:val="00807427"/>
    <w:rsid w:val="00813059"/>
    <w:rsid w:val="00813C6C"/>
    <w:rsid w:val="0081476A"/>
    <w:rsid w:val="0082041D"/>
    <w:rsid w:val="008207B3"/>
    <w:rsid w:val="008379B4"/>
    <w:rsid w:val="00873D99"/>
    <w:rsid w:val="008A254D"/>
    <w:rsid w:val="008C12AD"/>
    <w:rsid w:val="008C3AE2"/>
    <w:rsid w:val="008D16F1"/>
    <w:rsid w:val="008E090C"/>
    <w:rsid w:val="008E4B08"/>
    <w:rsid w:val="008F67E8"/>
    <w:rsid w:val="008F76C4"/>
    <w:rsid w:val="00917F5D"/>
    <w:rsid w:val="00933F84"/>
    <w:rsid w:val="0093479C"/>
    <w:rsid w:val="00937E96"/>
    <w:rsid w:val="00950232"/>
    <w:rsid w:val="00951DB0"/>
    <w:rsid w:val="00953471"/>
    <w:rsid w:val="009552A4"/>
    <w:rsid w:val="0096034A"/>
    <w:rsid w:val="00972195"/>
    <w:rsid w:val="009730B7"/>
    <w:rsid w:val="0097399D"/>
    <w:rsid w:val="00987DBE"/>
    <w:rsid w:val="00996B14"/>
    <w:rsid w:val="009A7E51"/>
    <w:rsid w:val="009B0B9C"/>
    <w:rsid w:val="009C60DD"/>
    <w:rsid w:val="009E0A74"/>
    <w:rsid w:val="009E6B2E"/>
    <w:rsid w:val="009E7B1A"/>
    <w:rsid w:val="00A129C2"/>
    <w:rsid w:val="00A40F8D"/>
    <w:rsid w:val="00A55B08"/>
    <w:rsid w:val="00A62D34"/>
    <w:rsid w:val="00A62FE0"/>
    <w:rsid w:val="00A70F62"/>
    <w:rsid w:val="00A77A03"/>
    <w:rsid w:val="00A84216"/>
    <w:rsid w:val="00A91592"/>
    <w:rsid w:val="00A92F96"/>
    <w:rsid w:val="00A974A5"/>
    <w:rsid w:val="00AC0654"/>
    <w:rsid w:val="00AC0E82"/>
    <w:rsid w:val="00B01346"/>
    <w:rsid w:val="00B40062"/>
    <w:rsid w:val="00B64801"/>
    <w:rsid w:val="00B670FA"/>
    <w:rsid w:val="00B938DE"/>
    <w:rsid w:val="00BA493C"/>
    <w:rsid w:val="00BA4E56"/>
    <w:rsid w:val="00BB02DD"/>
    <w:rsid w:val="00BB3ABF"/>
    <w:rsid w:val="00BB4BFA"/>
    <w:rsid w:val="00BC1707"/>
    <w:rsid w:val="00BE69A1"/>
    <w:rsid w:val="00BF25EC"/>
    <w:rsid w:val="00BF424D"/>
    <w:rsid w:val="00BF7BD6"/>
    <w:rsid w:val="00C01FA8"/>
    <w:rsid w:val="00C104D9"/>
    <w:rsid w:val="00C32611"/>
    <w:rsid w:val="00C42E73"/>
    <w:rsid w:val="00C50508"/>
    <w:rsid w:val="00C67AC8"/>
    <w:rsid w:val="00C71708"/>
    <w:rsid w:val="00C77C9A"/>
    <w:rsid w:val="00C848E7"/>
    <w:rsid w:val="00C84BA1"/>
    <w:rsid w:val="00C86A4F"/>
    <w:rsid w:val="00C92A58"/>
    <w:rsid w:val="00CA0BED"/>
    <w:rsid w:val="00CA7A22"/>
    <w:rsid w:val="00CB2311"/>
    <w:rsid w:val="00CD7362"/>
    <w:rsid w:val="00CE15E0"/>
    <w:rsid w:val="00CE4BC0"/>
    <w:rsid w:val="00CE5117"/>
    <w:rsid w:val="00CF2C38"/>
    <w:rsid w:val="00D04A9D"/>
    <w:rsid w:val="00D06CB7"/>
    <w:rsid w:val="00D10569"/>
    <w:rsid w:val="00D325A4"/>
    <w:rsid w:val="00D341AC"/>
    <w:rsid w:val="00D37B4A"/>
    <w:rsid w:val="00D409D3"/>
    <w:rsid w:val="00D62832"/>
    <w:rsid w:val="00D73B04"/>
    <w:rsid w:val="00D74761"/>
    <w:rsid w:val="00D82AFC"/>
    <w:rsid w:val="00D83822"/>
    <w:rsid w:val="00D93CAA"/>
    <w:rsid w:val="00D94644"/>
    <w:rsid w:val="00DA5477"/>
    <w:rsid w:val="00DB2A1C"/>
    <w:rsid w:val="00DC0404"/>
    <w:rsid w:val="00DC2FFB"/>
    <w:rsid w:val="00DC48A9"/>
    <w:rsid w:val="00DE1DBE"/>
    <w:rsid w:val="00DE2E57"/>
    <w:rsid w:val="00E2400A"/>
    <w:rsid w:val="00E32A48"/>
    <w:rsid w:val="00E561B3"/>
    <w:rsid w:val="00E6734D"/>
    <w:rsid w:val="00EA5876"/>
    <w:rsid w:val="00EA72B4"/>
    <w:rsid w:val="00EA7D2B"/>
    <w:rsid w:val="00EB3AD9"/>
    <w:rsid w:val="00EB544B"/>
    <w:rsid w:val="00EC3F48"/>
    <w:rsid w:val="00EE624C"/>
    <w:rsid w:val="00EF42B4"/>
    <w:rsid w:val="00F16D46"/>
    <w:rsid w:val="00F22C07"/>
    <w:rsid w:val="00F358F9"/>
    <w:rsid w:val="00F507E9"/>
    <w:rsid w:val="00F527AA"/>
    <w:rsid w:val="00F544B4"/>
    <w:rsid w:val="00F66B36"/>
    <w:rsid w:val="00F910F4"/>
    <w:rsid w:val="00F9156D"/>
    <w:rsid w:val="00FA3CB8"/>
    <w:rsid w:val="00FC1D6A"/>
    <w:rsid w:val="00FC3A76"/>
    <w:rsid w:val="00FE0161"/>
    <w:rsid w:val="00FE3681"/>
    <w:rsid w:val="00FE6FCD"/>
    <w:rsid w:val="00FE7B91"/>
    <w:rsid w:val="14FA3598"/>
    <w:rsid w:val="3402659C"/>
    <w:rsid w:val="58B36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6B22A6-75C7-4400-B6A5-0368B325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spacing w:before="100" w:beforeAutospacing="1" w:after="100" w:afterAutospacing="1"/>
      <w:jc w:val="left"/>
    </w:pPr>
    <w:rPr>
      <w:rFonts w:ascii="宋体" w:hAnsi="宋体" w:cs="宋体"/>
      <w:kern w:val="0"/>
      <w:sz w:val="24"/>
      <w:szCs w:val="24"/>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 w:type="character" w:styleId="ab">
    <w:name w:val="Hyperlink"/>
    <w:basedOn w:val="a0"/>
    <w:rsid w:val="006D5F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8366">
      <w:bodyDiv w:val="1"/>
      <w:marLeft w:val="0"/>
      <w:marRight w:val="0"/>
      <w:marTop w:val="0"/>
      <w:marBottom w:val="0"/>
      <w:divBdr>
        <w:top w:val="none" w:sz="0" w:space="0" w:color="auto"/>
        <w:left w:val="none" w:sz="0" w:space="0" w:color="auto"/>
        <w:bottom w:val="none" w:sz="0" w:space="0" w:color="auto"/>
        <w:right w:val="none" w:sz="0" w:space="0" w:color="auto"/>
      </w:divBdr>
    </w:div>
    <w:div w:id="829977790">
      <w:bodyDiv w:val="1"/>
      <w:marLeft w:val="0"/>
      <w:marRight w:val="0"/>
      <w:marTop w:val="0"/>
      <w:marBottom w:val="0"/>
      <w:divBdr>
        <w:top w:val="none" w:sz="0" w:space="0" w:color="auto"/>
        <w:left w:val="none" w:sz="0" w:space="0" w:color="auto"/>
        <w:bottom w:val="none" w:sz="0" w:space="0" w:color="auto"/>
        <w:right w:val="none" w:sz="0" w:space="0" w:color="auto"/>
      </w:divBdr>
    </w:div>
    <w:div w:id="1154443666">
      <w:bodyDiv w:val="1"/>
      <w:marLeft w:val="0"/>
      <w:marRight w:val="0"/>
      <w:marTop w:val="0"/>
      <w:marBottom w:val="0"/>
      <w:divBdr>
        <w:top w:val="none" w:sz="0" w:space="0" w:color="auto"/>
        <w:left w:val="none" w:sz="0" w:space="0" w:color="auto"/>
        <w:bottom w:val="none" w:sz="0" w:space="0" w:color="auto"/>
        <w:right w:val="none" w:sz="0" w:space="0" w:color="auto"/>
      </w:divBdr>
    </w:div>
    <w:div w:id="1444960449">
      <w:bodyDiv w:val="1"/>
      <w:marLeft w:val="0"/>
      <w:marRight w:val="0"/>
      <w:marTop w:val="0"/>
      <w:marBottom w:val="0"/>
      <w:divBdr>
        <w:top w:val="none" w:sz="0" w:space="0" w:color="auto"/>
        <w:left w:val="none" w:sz="0" w:space="0" w:color="auto"/>
        <w:bottom w:val="none" w:sz="0" w:space="0" w:color="auto"/>
        <w:right w:val="none" w:sz="0" w:space="0" w:color="auto"/>
      </w:divBdr>
    </w:div>
    <w:div w:id="1573079863">
      <w:bodyDiv w:val="1"/>
      <w:marLeft w:val="0"/>
      <w:marRight w:val="0"/>
      <w:marTop w:val="0"/>
      <w:marBottom w:val="0"/>
      <w:divBdr>
        <w:top w:val="none" w:sz="0" w:space="0" w:color="auto"/>
        <w:left w:val="none" w:sz="0" w:space="0" w:color="auto"/>
        <w:bottom w:val="none" w:sz="0" w:space="0" w:color="auto"/>
        <w:right w:val="none" w:sz="0" w:space="0" w:color="auto"/>
      </w:divBdr>
    </w:div>
    <w:div w:id="1802377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3</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张天龙</cp:lastModifiedBy>
  <cp:revision>192</cp:revision>
  <cp:lastPrinted>2019-06-04T03:57:00Z</cp:lastPrinted>
  <dcterms:created xsi:type="dcterms:W3CDTF">2019-05-09T02:58:00Z</dcterms:created>
  <dcterms:modified xsi:type="dcterms:W3CDTF">2021-05-08T03:39:00Z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