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9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一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eastAsia="黑体"/>
          <w:sz w:val="32"/>
          <w:szCs w:val="32"/>
          <w:highlight w:val="none"/>
          <w:lang w:eastAsia="zh-CN"/>
        </w:rPr>
        <w:t>甲硝唑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甲硝唑是一种抗生素和抗原虫剂。《食品安全国家标准 食品中兽药最大残留限量》（GB 31650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2019）中规定，甲硝唑为允许作治疗用，但不得在动物性食品中检出的兽药（在所有食品动物的可食组织中均不得检出）。鸡蛋中检出甲硝唑的原因，可能是养殖户在养殖过程中违规使用相关兽药。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氯霉素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氯霉素是一种杀菌剂，也是高效广谱的抗生素，对革兰氏阳性菌和革兰氏阴性菌均有较好的抑制作用。《食品动物中禁止使用的药品及其他化合物清单》（农业农村部公告 第250号）中规定，氯霉素为食品动物中禁止使用的药品（食品动物中不得检出）。贝类中检出氯霉素的原因，可能是养殖户在养殖过程中违规使用相关兽药。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灭蝇胺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灭蝇胺又名环丙氨嗪，为一种新型高效、低毒、含氮杂环类杀虫剂，是目前防治双翅目昆虫病虫害效果较好的生态农药。《食品安全国家标准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2019）中规定，灭蝇胺在豇豆中的最大残留限量为0.5mg/kg。豇豆中灭蝇胺超标的原因，可能是菜农对使用农药的安全间隔期不了解违规使用或滥用农药。少量的农药残留不会引起人体急性中毒，但长期食用农药残留超标的食品，可能会对人体健康有一定影响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铅（以Pb计）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铅是最常见的重金属元素污染物之一。《食品安全国家标准食品中污染物限量》（GB 2762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2017）规定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生姜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铅的最大限量值均为0.1mg/kg。铅超标的原因，可能是蔬菜种植过程中对环境中铅元素的富集。铅可在人体内积累，长期摄入铅超标的食品会严重影响大脑和神经系统，尤其会对儿童造成智力发育障碍和表现行为异常。</w:t>
      </w:r>
    </w:p>
    <w:p>
      <w:pPr>
        <w:spacing w:line="600" w:lineRule="exact"/>
        <w:ind w:firstLine="632" w:firstLineChars="200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菌落总数</w:t>
      </w:r>
    </w:p>
    <w:p>
      <w:pPr>
        <w:widowControl/>
        <w:shd w:val="clear" w:color="auto" w:fill="FFFFFF"/>
        <w:snapToGrid w:val="0"/>
        <w:spacing w:line="590" w:lineRule="exact"/>
        <w:ind w:firstLine="632" w:firstLineChars="200"/>
        <w:rPr>
          <w:rFonts w:hint="eastAsia" w:ascii="Times New Roman" w:hAnsi="Times New Roman" w:eastAsia="仿宋_GB2312" w:cs="Times New Roman"/>
          <w:color w:val="auto"/>
          <w:highlight w:val="none"/>
          <w:lang w:val="zh-CN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菌落总数是指示性微生物指标，不是致病菌指标，反映食品在生产过程中的卫生状况。如果食品的菌落总数严重超标，将会破坏食品的营养成分，使食品失去食用价值；还会加速食品腐败变质，可能危害人体健康。菌落总数超标的原因，可能是企业未按要求严格控制生产加工过程的卫生条件，或者包装容器清洗不到位；也可能与产品包装密封不严，储运条件控制不当等有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44567"/>
    <w:rsid w:val="26153BC5"/>
    <w:rsid w:val="41244567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宋体"/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2021-04-30T07:18:00Z</dcterms:created>
  <dc:creator>罗钰珊</dc:creator>
  <cp:lastModifiedBy>罗钰珊</cp:lastModifiedBy>
  <dcterms:modified xsi:type="dcterms:W3CDTF">2021-04-30T07:18:47Z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