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宋体" w:hAnsi="宋体"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  <w:t>部分不合格项目的小知识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eastAsia="zh-CN"/>
        </w:rPr>
        <w:t>脱氢乙酸及其钠盐(以脱氢乙酸计)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本次抽检有2批次糕点脱氢乙酸及其钠盐(以脱氢乙酸计)不符合食品安全国家标准规定。脱氢乙酸及其钠盐(以脱氢乙酸计)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作为一种广谱食品防腐剂，毒性较低，按标准规定的范围和使用量使用是安全可靠的。脱氢乙酸超标的原因可能是个别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商家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为防止食品腐败变质，超量使用了该添加剂，或者其使用的复配添加剂中该添加剂含量较高;也可能是在添加过程中未计量或计量不准确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/>
        </w:rPr>
        <w:t>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过氧化值(以脂肪计)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本次抽检有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批次肉制品过氧化值(以脂肪计)不符合食品安全国家标准规定。过氧化值指标主要反映食品中油脂的氧化变质情况。随着油脂氧化，过氧化值会呈非线性变化，一旦油脂氧化严重，过氧化值就会超过国家标准规定的限量值。过氧化值超标的原因，可能是产品用油已经变质，或者产品在储存过程中环境条件控制不当，导致油脂氧化；也可能是原料中的脂肪已经氧化，原料储存不当，未采取有效的抗氧化措施，最终使得终产品过氧化值超标。</w:t>
      </w: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5B81454"/>
    <w:rsid w:val="07774E88"/>
    <w:rsid w:val="089740EF"/>
    <w:rsid w:val="0F982896"/>
    <w:rsid w:val="495D329D"/>
    <w:rsid w:val="4B8B6C54"/>
    <w:rsid w:val="57637964"/>
    <w:rsid w:val="593E1AD5"/>
    <w:rsid w:val="66741875"/>
    <w:rsid w:val="6ECA0FA9"/>
    <w:rsid w:val="76E9322E"/>
    <w:rsid w:val="7A785B94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Administrator</cp:lastModifiedBy>
  <cp:lastPrinted>2021-04-23T08:32:52Z</cp:lastPrinted>
  <dcterms:modified xsi:type="dcterms:W3CDTF">2021-04-23T08:39:20Z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A9CE553E7F8B4E16978F17193EDF3D0C</vt:lpwstr>
  </property>
</Properties>
</file>