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731</w:t>
      </w:r>
      <w:bookmarkStart w:id="0" w:name="_GoBack"/>
      <w:bookmarkEnd w:id="0"/>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 xml:space="preserve">当事人：广西佳道投资有限公司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统一社会信用代码（注册号）：91450100MA5MUM3A0L</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住所（住址）：南宁市西乡塘区西宁路19号同人·学府大道1号楼1608号</w:t>
      </w:r>
      <w:r>
        <w:rPr>
          <w:rFonts w:hint="eastAsia" w:ascii="仿宋_GB2312" w:hAnsi="仿宋" w:eastAsia="仿宋_GB2312" w:cs="仿宋"/>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法定代表人（负责人、经营者）：覃炳亮</w:t>
      </w:r>
    </w:p>
    <w:p>
      <w:pPr>
        <w:spacing w:line="520" w:lineRule="exact"/>
        <w:ind w:right="233" w:rightChars="111"/>
        <w:jc w:val="left"/>
        <w:rPr>
          <w:rFonts w:hint="eastAsia" w:ascii="仿宋_GB2312" w:hAnsi="仿宋" w:eastAsia="仿宋_GB2312" w:cs="仿宋"/>
          <w:sz w:val="32"/>
          <w:szCs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2020年3月6日，本局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宋体" w:eastAsia="仿宋_GB2312" w:cs="仿宋_GB2312"/>
          <w:sz w:val="32"/>
          <w:szCs w:val="32"/>
          <w:lang w:eastAsia="zh-CN"/>
        </w:rPr>
        <w:t>《</w:t>
      </w:r>
      <w:r>
        <w:rPr>
          <w:rFonts w:hint="eastAsia" w:ascii="仿宋_GB2312" w:hAnsi="宋体" w:eastAsia="仿宋_GB2312" w:cs="仿宋_GB2312"/>
          <w:bCs/>
          <w:sz w:val="32"/>
          <w:szCs w:val="32"/>
          <w:lang w:eastAsia="zh-CN"/>
        </w:rPr>
        <w:t>中华人民共和国公司法</w:t>
      </w:r>
      <w:r>
        <w:rPr>
          <w:rFonts w:hint="eastAsia" w:ascii="仿宋_GB2312" w:hAnsi="宋体" w:eastAsia="仿宋_GB2312" w:cs="仿宋_GB2312"/>
          <w:sz w:val="32"/>
          <w:szCs w:val="32"/>
          <w:lang w:eastAsia="zh-CN"/>
        </w:rPr>
        <w:t>》第二百一十一条“公司成立后无正当理由超过六个月未开业的，或者开业后自行停业连续六个月以上”的规定。经局领导同意对当事人的行为进行立案调查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 w:eastAsia="仿宋_GB2312" w:cs="仿宋_GB2312"/>
          <w:sz w:val="32"/>
          <w:szCs w:val="32"/>
          <w:lang w:eastAsia="zh-CN"/>
        </w:rPr>
        <w:t>《</w:t>
      </w:r>
      <w:r>
        <w:rPr>
          <w:rFonts w:hint="eastAsia" w:ascii="仿宋_GB2312" w:hAnsi="仿宋" w:eastAsia="仿宋_GB2312" w:cs="仿宋_GB2312"/>
          <w:bCs/>
          <w:sz w:val="32"/>
          <w:szCs w:val="32"/>
          <w:lang w:eastAsia="zh-CN"/>
        </w:rPr>
        <w:t>中华人民共和国公司法</w:t>
      </w:r>
      <w:r>
        <w:rPr>
          <w:rFonts w:hint="eastAsia" w:ascii="仿宋_GB2312" w:hAnsi="仿宋" w:eastAsia="仿宋_GB2312" w:cs="仿宋_GB2312"/>
          <w:sz w:val="32"/>
          <w:szCs w:val="32"/>
          <w:lang w:eastAsia="zh-CN"/>
        </w:rPr>
        <w:t>》</w:t>
      </w:r>
      <w:r>
        <w:rPr>
          <w:rFonts w:hint="eastAsia" w:ascii="仿宋_GB2312" w:hAnsi="仿宋" w:eastAsia="仿宋_GB2312" w:cs="仿宋_GB2312"/>
          <w:bCs/>
          <w:color w:val="000000"/>
          <w:sz w:val="32"/>
          <w:szCs w:val="32"/>
          <w:lang w:eastAsia="zh-CN"/>
        </w:rPr>
        <w:t>第二百一十一条第一款</w:t>
      </w:r>
      <w:r>
        <w:rPr>
          <w:rFonts w:hint="eastAsia" w:ascii="仿宋_GB2312" w:hAnsi="仿宋" w:eastAsia="仿宋_GB2312" w:cs="仿宋_GB2312"/>
          <w:sz w:val="32"/>
          <w:szCs w:val="32"/>
          <w:lang w:eastAsia="zh-CN"/>
        </w:rPr>
        <w:t>“</w:t>
      </w:r>
      <w:r>
        <w:rPr>
          <w:rFonts w:hint="eastAsia" w:ascii="仿宋_GB2312" w:hAnsi="仿宋" w:eastAsia="仿宋_GB2312" w:cs="仿宋_GB2312"/>
          <w:color w:val="000000"/>
          <w:sz w:val="32"/>
          <w:szCs w:val="32"/>
          <w:shd w:val="clear" w:color="auto" w:fill="FFFFFF"/>
          <w:lang w:eastAsia="zh-CN"/>
        </w:rPr>
        <w:t>公司成立后无正当理由超过</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个月未开业的，或者开业后自行停业连续</w:t>
      </w:r>
      <w:r>
        <w:rPr>
          <w:rFonts w:hint="eastAsia" w:ascii="仿宋_GB2312" w:hAnsi="仿宋" w:eastAsia="仿宋_GB2312" w:cs="仿宋_GB2312"/>
          <w:color w:val="000000"/>
          <w:sz w:val="32"/>
          <w:szCs w:val="32"/>
          <w:shd w:val="clear" w:color="auto" w:fill="FFFFFF"/>
          <w:lang w:val="en-US" w:eastAsia="zh-CN"/>
        </w:rPr>
        <w:t>六</w:t>
      </w:r>
      <w:r>
        <w:rPr>
          <w:rFonts w:hint="eastAsia" w:ascii="仿宋_GB2312" w:hAnsi="仿宋" w:eastAsia="仿宋_GB2312" w:cs="仿宋_GB2312"/>
          <w:color w:val="000000"/>
          <w:sz w:val="32"/>
          <w:szCs w:val="32"/>
          <w:shd w:val="clear" w:color="auto" w:fill="FFFFFF"/>
          <w:lang w:eastAsia="zh-CN"/>
        </w:rPr>
        <w:t>个月以上的，可以由公司登记机关吊销营业执照。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color w:val="000000"/>
          <w:sz w:val="32"/>
          <w:szCs w:val="32"/>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color w:val="000000"/>
          <w:sz w:val="32"/>
          <w:szCs w:val="32"/>
        </w:rPr>
      </w:pPr>
      <w:r>
        <w:rPr>
          <w:rFonts w:hint="eastAsia" w:ascii="仿宋_GB2312" w:hAnsi="仿宋" w:eastAsia="仿宋_GB2312" w:cs="仿宋"/>
          <w:b/>
          <w:color w:val="000000"/>
          <w:sz w:val="32"/>
          <w:szCs w:val="32"/>
        </w:rPr>
        <w:t>（市场监督管理部门将依法向社会公示本行政处罚决定信息）</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00DF6F3E"/>
    <w:rsid w:val="10145303"/>
    <w:rsid w:val="1728396C"/>
    <w:rsid w:val="1D7901F5"/>
    <w:rsid w:val="37A32031"/>
    <w:rsid w:val="4F5D6A7B"/>
    <w:rsid w:val="5B4C1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2021-04-22T02:52:15Z</cp:lastPrinted>
  <dcterms:modified xsi:type="dcterms:W3CDTF">2021-04-22T02:53:15Z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F08767D39DA84163ABC4B12C322848E0</vt:lpwstr>
  </property>
</Properties>
</file>