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仿宋"/>
          <w:color w:val="000000"/>
          <w:highlight w:val="none"/>
        </w:rPr>
        <w:t>附件</w:t>
      </w:r>
      <w:r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  <w:t>9</w:t>
      </w:r>
    </w:p>
    <w:p>
      <w:pPr>
        <w:spacing w:line="590" w:lineRule="exact"/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</w:pP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关于部分检验项目的说明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color w:val="000000"/>
          <w:highlight w:val="none"/>
        </w:rPr>
      </w:pP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黑体"/>
          <w:color w:val="000000"/>
          <w:highlight w:val="none"/>
        </w:rPr>
      </w:pP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镉（以Cd计）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/>
          <w:color w:val="000000"/>
          <w:highlight w:val="none"/>
        </w:rPr>
      </w:pPr>
      <w:r>
        <w:rPr>
          <w:rFonts w:hint="eastAsia" w:ascii="Times New Roman" w:hAnsi="Times New Roman" w:eastAsia="仿宋_GB2312"/>
          <w:color w:val="000000"/>
          <w:highlight w:val="none"/>
        </w:rPr>
        <w:t>镉（以Cd计）是一种蓄积性的重金属元素。长期食用镉（以Cd计）超标的食品，可能对肾脏、肝脏和骨骼造成损害，还可能影响免疫系统，甚至可能对儿童高级神经活动有损害。《食品安全国家标准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</w:t>
      </w:r>
      <w:r>
        <w:rPr>
          <w:rFonts w:hint="eastAsia" w:ascii="Times New Roman" w:hAnsi="Times New Roman" w:eastAsia="仿宋_GB2312"/>
          <w:color w:val="000000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000000"/>
          <w:highlight w:val="none"/>
        </w:rPr>
        <w:t>2017）中规定，镉（以Cd计）在鲜、冻水产动物的甲壳类中最大限量值为0.5mg/kg。镉（以Cd计）超标的原因，可能是在生长过程中富集了环境中的镉元素。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铅（以Pb计）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铅是最常见的重金属元素污染物之一。《食品安全国家标准食品中污染物限量》（GB 2762</w:t>
      </w:r>
      <w:r>
        <w:rPr>
          <w:rFonts w:hint="eastAsia" w:ascii="Times New Roman" w:hAnsi="Times New Roman" w:eastAsia="仿宋_GB2312" w:cs="Times New Roman"/>
          <w:color w:val="000000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2017）规定</w:t>
      </w:r>
      <w:r>
        <w:rPr>
          <w:rFonts w:hint="eastAsia" w:ascii="Times New Roman" w:hAnsi="Times New Roman" w:eastAsia="仿宋_GB2312" w:cs="Times New Roman"/>
          <w:color w:val="000000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中铅的最大限量值均为0.1mg/kg。豆芽中铅超标的原因，可能是蔬菜种植过程中对环境中铅元素的富集。铅可在人体内积累，长期摄入铅超标的食品会严重影响大脑和神经系统，尤其会对儿童造成智力发育障碍和表现行为异常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呋喃唑酮代谢物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呋喃唑酮是硝基呋喃类广谱抗生素，曾广泛应用于畜禽及水产养殖业。硝基呋喃类原型药在生物体内代谢迅速，其代谢物因与蛋白质结合而相当稳定，故常利用对其代谢物的检测来反映硝基呋喃类药物的残留状况。《食品动物中禁止使用的药品及其他化合物清单》（农业农村部公告第250号）中规定，呋喃唑酮为禁止使用的药物，在动物性食品中不得检出。硝基呋喃类药物及其代谢物可引起溶血性贫血、多发性神经炎、眼部损害等疾病。长期食用检出呋喃唑酮代谢物的食品，可能会对人体健康有一定影响。鸡肉、水产品中检出呋喃唑酮代谢物的原因，可能是养殖户在养殖过程中违规使用相关兽药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氯霉素是酰胺醇类抗生素，对革兰氏阳性菌和革兰氏阴性菌均有较好的抑制作用。长期食用检出氯霉素的食品，可能引起恶心、呕吐、食欲缺乏、舌炎、口腔炎、过敏以及其他不良反应，还可能对造血系统、神经系统造成损害。《食品动物中禁止使用的药品及其他化合物清单》（农业农村部公告第250号）中规定，氯霉素为食品动物中禁止使用的药品（在动物性食品中不得检出）。我国发布的《食品中可能违法添加的非食用物质和易滥用的食品添加剂品种名单（第五批）》（整顿办函〔2011〕1号）中将氯霉素列为在肉制品中可能违法添加的非食用物质，在肉制品中不得检出。贝类、禽肉、禽副产品和肉制品中检出氯霉素的原因，可能是其抑菌效果好、相对廉价，养殖户在养殖中非法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F229C"/>
    <w:rsid w:val="174F229C"/>
    <w:rsid w:val="26153BC5"/>
    <w:rsid w:val="5D05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2021-04-20T07:05:00Z</dcterms:created>
  <dc:creator>罗钰珊</dc:creator>
  <cp:lastModifiedBy>罗钰珊</cp:lastModifiedBy>
  <dcterms:modified xsi:type="dcterms:W3CDTF">2021-04-20T07:06:03Z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