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textAlignment w:val="baseline"/>
        <w:rPr>
          <w:rFonts w:eastAsia="黑体"/>
          <w:spacing w:val="-12"/>
          <w:sz w:val="32"/>
          <w:szCs w:val="32"/>
        </w:rPr>
      </w:pPr>
      <w:r>
        <w:rPr>
          <w:rFonts w:hint="eastAsia" w:eastAsia="黑体"/>
          <w:spacing w:val="-12"/>
          <w:sz w:val="32"/>
          <w:szCs w:val="32"/>
        </w:rPr>
        <w:t>附件3</w:t>
      </w:r>
    </w:p>
    <w:p>
      <w:pPr>
        <w:keepNext w:val="0"/>
        <w:keepLines w:val="0"/>
        <w:pageBreakBefore w:val="0"/>
        <w:widowControl w:val="0"/>
        <w:kinsoku/>
        <w:wordWrap/>
        <w:overflowPunct/>
        <w:topLinePunct w:val="0"/>
        <w:bidi w:val="0"/>
        <w:snapToGrid/>
        <w:spacing w:line="540" w:lineRule="exact"/>
        <w:ind w:firstLine="0" w:firstLineChars="0"/>
        <w:jc w:val="center"/>
        <w:textAlignment w:val="baseline"/>
        <w:rPr>
          <w:rFonts w:eastAsia="黑体"/>
          <w:spacing w:val="-12"/>
          <w:sz w:val="44"/>
          <w:szCs w:val="44"/>
        </w:rPr>
      </w:pPr>
      <w:r>
        <w:rPr>
          <w:rFonts w:hint="eastAsia" w:eastAsia="黑体"/>
          <w:spacing w:val="-12"/>
          <w:sz w:val="44"/>
          <w:szCs w:val="44"/>
        </w:rPr>
        <w:t>部分检验项目的说明</w:t>
      </w:r>
    </w:p>
    <w:p>
      <w:pPr>
        <w:keepNext w:val="0"/>
        <w:keepLines w:val="0"/>
        <w:pageBreakBefore w:val="0"/>
        <w:widowControl w:val="0"/>
        <w:kinsoku/>
        <w:wordWrap/>
        <w:overflowPunct/>
        <w:topLinePunct w:val="0"/>
        <w:bidi w:val="0"/>
        <w:snapToGrid/>
        <w:spacing w:line="54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镉</w:t>
      </w:r>
      <w:bookmarkStart w:id="0" w:name="_GoBack"/>
      <w:bookmarkEnd w:id="0"/>
    </w:p>
    <w:p>
      <w:pPr>
        <w:pStyle w:val="10"/>
        <w:keepNext w:val="0"/>
        <w:keepLines w:val="0"/>
        <w:pageBreakBefore w:val="0"/>
        <w:widowControl w:val="0"/>
        <w:kinsoku/>
        <w:wordWrap/>
        <w:overflowPunct/>
        <w:topLinePunct w:val="0"/>
        <w:bidi w:val="0"/>
        <w:snapToGrid/>
        <w:spacing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镉是水产制品中最常见的污染重金属元素之一，联合国环境规划署</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DNFP</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和国际职业卫生重金属委员会将镉列入重点研究的环境污染物，世界卫生组织</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WHO</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则将其作为优先研究的食品污染物。水产制品中镉不合格可能是水产品养殖过程中对环境中镉元素的富集</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。镉对人体的危害主要是慢性蓄积性，长期大量摄入镉含量超标的食品可能导致肾和骨骼损伤等。</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eastAsia="黑体" w:cs="Times New Roman"/>
          <w:bCs/>
          <w:sz w:val="32"/>
          <w:szCs w:val="32"/>
          <w:lang w:val="en-US" w:eastAsia="zh-CN"/>
        </w:rPr>
        <w:t>二</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p>
      <w:pPr>
        <w:keepNext w:val="0"/>
        <w:keepLines w:val="0"/>
        <w:pageBreakBefore w:val="0"/>
        <w:widowControl w:val="0"/>
        <w:kinsoku/>
        <w:wordWrap/>
        <w:overflowPunct/>
        <w:topLinePunct w:val="0"/>
        <w:bidi w:val="0"/>
        <w:snapToGrid/>
        <w:spacing w:line="540" w:lineRule="exact"/>
        <w:ind w:firstLine="592" w:firstLineChars="200"/>
        <w:jc w:val="left"/>
        <w:textAlignment w:val="baseline"/>
        <w:rPr>
          <w:rFonts w:eastAsia="黑体"/>
          <w:kern w:val="0"/>
          <w:sz w:val="32"/>
          <w:szCs w:val="32"/>
        </w:rPr>
      </w:pPr>
      <w:r>
        <w:rPr>
          <w:rFonts w:hint="eastAsia" w:eastAsia="黑体"/>
          <w:spacing w:val="-12"/>
          <w:sz w:val="32"/>
          <w:szCs w:val="32"/>
          <w:lang w:val="en-US" w:eastAsia="zh-CN"/>
        </w:rPr>
        <w:t>三</w:t>
      </w:r>
      <w:r>
        <w:rPr>
          <w:rFonts w:eastAsia="黑体"/>
          <w:spacing w:val="-12"/>
          <w:sz w:val="32"/>
          <w:szCs w:val="32"/>
        </w:rPr>
        <w:t>、</w:t>
      </w:r>
      <w:r>
        <w:rPr>
          <w:rFonts w:eastAsia="黑体"/>
          <w:kern w:val="0"/>
          <w:sz w:val="32"/>
          <w:szCs w:val="32"/>
        </w:rPr>
        <w:t>大肠菌群</w:t>
      </w:r>
    </w:p>
    <w:p>
      <w:pPr>
        <w:keepNext w:val="0"/>
        <w:keepLines w:val="0"/>
        <w:pageBreakBefore w:val="0"/>
        <w:widowControl w:val="0"/>
        <w:kinsoku/>
        <w:wordWrap/>
        <w:overflowPunct/>
        <w:topLinePunct w:val="0"/>
        <w:bidi w:val="0"/>
        <w:snapToGrid/>
        <w:spacing w:line="540" w:lineRule="exact"/>
        <w:ind w:firstLine="640" w:firstLineChars="200"/>
        <w:rPr>
          <w:rFonts w:eastAsia="仿宋_GB2312"/>
          <w:sz w:val="32"/>
          <w:szCs w:val="32"/>
        </w:rPr>
      </w:pPr>
      <w:r>
        <w:rPr>
          <w:rFonts w:eastAsia="仿宋_GB2312"/>
          <w:sz w:val="32"/>
          <w:szCs w:val="32"/>
        </w:rPr>
        <w:t>大肠菌群是国内外通用的食品污染常用指示菌之一。大肠菌群超标可能由于产品的加工原料、包装材料受污染，或在生产过程中产品受人员、工器具等生产设备、环境的污染、有灭菌工艺的产品灭菌不彻底而导致。</w:t>
      </w:r>
    </w:p>
    <w:p>
      <w:pPr>
        <w:keepNext w:val="0"/>
        <w:keepLines w:val="0"/>
        <w:pageBreakBefore w:val="0"/>
        <w:widowControl w:val="0"/>
        <w:kinsoku/>
        <w:wordWrap/>
        <w:overflowPunct/>
        <w:topLinePunct w:val="0"/>
        <w:bidi w:val="0"/>
        <w:snapToGrid/>
        <w:spacing w:line="54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、氟苯尼考</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rPr>
          <w:rFonts w:ascii="仿宋_GB2312" w:hAnsi="Calibri" w:eastAsia="仿宋_GB2312"/>
          <w:sz w:val="32"/>
          <w:szCs w:val="32"/>
        </w:rPr>
      </w:pPr>
      <w:r>
        <w:rPr>
          <w:rFonts w:hint="eastAsia" w:eastAsia="仿宋_GB2312"/>
          <w:sz w:val="32"/>
          <w:szCs w:val="32"/>
        </w:rPr>
        <w:t>氟苯尼考又称氟甲砜霉素，是农业部批准使用的动物专用抗菌药，主要用于敏感细菌所致的猪、鸡、鱼的细菌性疾病。长期食用氟苯尼考残留超标的食品，对人体健康有一定影响。</w:t>
      </w:r>
    </w:p>
    <w:p>
      <w:pPr>
        <w:keepNext w:val="0"/>
        <w:keepLines w:val="0"/>
        <w:pageBreakBefore w:val="0"/>
        <w:widowControl w:val="0"/>
        <w:kinsoku/>
        <w:wordWrap/>
        <w:overflowPunct/>
        <w:topLinePunct w:val="0"/>
        <w:bidi w:val="0"/>
        <w:snapToGrid/>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w:t>
      </w:r>
      <w:r>
        <w:rPr>
          <w:rFonts w:ascii="黑体" w:hAnsi="黑体" w:eastAsia="黑体" w:cs="Times New Roman"/>
          <w:sz w:val="32"/>
          <w:szCs w:val="32"/>
        </w:rPr>
        <w:t xml:space="preserve">阴离子合成洗涤剂(以十二烷基苯磺酸钠计) </w:t>
      </w:r>
    </w:p>
    <w:p>
      <w:pPr>
        <w:keepNext w:val="0"/>
        <w:keepLines w:val="0"/>
        <w:pageBreakBefore w:val="0"/>
        <w:widowControl w:val="0"/>
        <w:kinsoku/>
        <w:wordWrap/>
        <w:overflowPunct/>
        <w:topLinePunct w:val="0"/>
        <w:bidi w:val="0"/>
        <w:snapToGrid/>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阴离子合成洗涤剂，即日常生活中经常用到的洗洁精、洗衣粉、肥皂等洗涤剂的主要成分，其主要成分为十二烷基苯磺酸钠。该物质为低毒物质，因其使用方便、易溶解、稳定性好、成本低等优点,在消毒企业中广泛使用，复用餐（饮）具中检出阴离子合成洗涤剂，可能是部分单位使用的洗涤剂使用量过大，未经足够量清水冲洗或餐具漂洗池内清洗用水重复使用或餐具数量多，造成交叉污染，进而残存在餐（饮）具中。</w:t>
      </w:r>
    </w:p>
    <w:p>
      <w:pPr>
        <w:spacing w:line="48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 金刚烷胺</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金刚烷胺是人用抗病毒药，移植兽用缺乏科学规范、安全有效实验数据，用于动物病毒性疫病不但给动物疫病控制带来不良后果，而且影响国家动物疫病防控政策的实施。</w:t>
      </w:r>
    </w:p>
    <w:p>
      <w:pPr>
        <w:keepNext w:val="0"/>
        <w:keepLines w:val="0"/>
        <w:pageBreakBefore w:val="0"/>
        <w:widowControl w:val="0"/>
        <w:kinsoku/>
        <w:wordWrap/>
        <w:overflowPunct/>
        <w:topLinePunct w:val="0"/>
        <w:bidi w:val="0"/>
        <w:snapToGrid/>
        <w:spacing w:line="540" w:lineRule="exact"/>
        <w:ind w:firstLine="640" w:firstLineChars="200"/>
        <w:rPr>
          <w:rFonts w:hint="eastAsia"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1338"/>
    <w:rsid w:val="002E3921"/>
    <w:rsid w:val="00425F30"/>
    <w:rsid w:val="00AE6277"/>
    <w:rsid w:val="00C81338"/>
    <w:rsid w:val="00D75458"/>
    <w:rsid w:val="01584046"/>
    <w:rsid w:val="01A17647"/>
    <w:rsid w:val="04E73D71"/>
    <w:rsid w:val="0F7C37BD"/>
    <w:rsid w:val="10D278BE"/>
    <w:rsid w:val="11E514FF"/>
    <w:rsid w:val="13322EF6"/>
    <w:rsid w:val="13335747"/>
    <w:rsid w:val="16A72B45"/>
    <w:rsid w:val="17B737AE"/>
    <w:rsid w:val="19066D18"/>
    <w:rsid w:val="19071755"/>
    <w:rsid w:val="1B8B564F"/>
    <w:rsid w:val="1DC36796"/>
    <w:rsid w:val="234F1590"/>
    <w:rsid w:val="272C5305"/>
    <w:rsid w:val="2946328C"/>
    <w:rsid w:val="2A9C4BF4"/>
    <w:rsid w:val="31456024"/>
    <w:rsid w:val="39AC322D"/>
    <w:rsid w:val="3AD727F2"/>
    <w:rsid w:val="3EAE3E11"/>
    <w:rsid w:val="41487A0E"/>
    <w:rsid w:val="42B7663A"/>
    <w:rsid w:val="46D10288"/>
    <w:rsid w:val="4B3A29F8"/>
    <w:rsid w:val="537D3E0E"/>
    <w:rsid w:val="538105E3"/>
    <w:rsid w:val="539A344C"/>
    <w:rsid w:val="5ACE07CC"/>
    <w:rsid w:val="5F394E3A"/>
    <w:rsid w:val="60AB1E4A"/>
    <w:rsid w:val="61261C1E"/>
    <w:rsid w:val="623E1ED1"/>
    <w:rsid w:val="63104316"/>
    <w:rsid w:val="64E9586B"/>
    <w:rsid w:val="65A64674"/>
    <w:rsid w:val="6AD544DC"/>
    <w:rsid w:val="6CEB04D5"/>
    <w:rsid w:val="6EA429BB"/>
    <w:rsid w:val="700026E9"/>
    <w:rsid w:val="7141509C"/>
    <w:rsid w:val="72A86D27"/>
    <w:rsid w:val="72CD6A7D"/>
    <w:rsid w:val="73A04FF4"/>
    <w:rsid w:val="740427DF"/>
    <w:rsid w:val="75502CAC"/>
    <w:rsid w:val="75C12E5F"/>
    <w:rsid w:val="788F1DEF"/>
    <w:rsid w:val="7A561CBB"/>
    <w:rsid w:val="7B2F1610"/>
    <w:rsid w:val="7B9E2DD3"/>
    <w:rsid w:val="7F3176C5"/>
    <w:rsid w:val="7FFF2B6F"/>
    <w:rsid w:val="F5DF06F9"/>
    <w:rsid w:val="F7CE2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列出段落1"/>
    <w:basedOn w:val="1"/>
    <w:qFormat/>
    <w:uiPriority w:val="34"/>
    <w:pPr>
      <w:ind w:firstLine="420" w:firstLineChars="200"/>
    </w:pPr>
    <w:rPr>
      <w:rFonts w:ascii="Calibri" w:hAnsi="Calibri"/>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0"/>
    <w:rPr>
      <w:rFonts w:ascii="Times New Roman" w:hAnsi="Times New Roman" w:eastAsia="宋体" w:cs="Times New Roman"/>
      <w:kern w:val="2"/>
      <w:sz w:val="18"/>
      <w:szCs w:val="18"/>
    </w:rPr>
  </w:style>
  <w:style w:type="paragraph" w:customStyle="1" w:styleId="10">
    <w:name w:val="Default"/>
    <w:basedOn w:val="1"/>
    <w:qFormat/>
    <w:uiPriority w:val="0"/>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71</Words>
  <Characters>411</Characters>
  <Lines>3</Lines>
  <Paragraphs>1</Paragraphs>
  <TotalTime>1</TotalTime>
  <ScaleCrop>false</ScaleCrop>
  <LinksUpToDate>false</LinksUpToDate>
  <CharactersWithSpaces>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飞</cp:lastModifiedBy>
  <dcterms:modified xsi:type="dcterms:W3CDTF">2021-03-19T14:18:29Z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