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outlineLvl w:val="0"/>
        <w:rPr>
          <w:rFonts w:hint="eastAsia" w:ascii="黑体" w:hAnsi="黑体" w:eastAsia="黑体" w:cs="黑体"/>
          <w:sz w:val="32"/>
          <w:szCs w:val="32"/>
        </w:rPr>
      </w:pPr>
    </w:p>
    <w:p>
      <w:pPr>
        <w:spacing w:before="288" w:beforeLines="50" w:after="288" w:afterLines="50" w:line="540" w:lineRule="exact"/>
        <w:jc w:val="center"/>
        <w:outlineLvl w:val="1"/>
        <w:rPr>
          <w:rFonts w:eastAsia="方正小标宋简体"/>
          <w:sz w:val="44"/>
          <w:szCs w:val="44"/>
        </w:rPr>
      </w:pPr>
      <w:r>
        <w:rPr>
          <w:rFonts w:eastAsia="方正小标宋简体"/>
          <w:sz w:val="44"/>
          <w:szCs w:val="44"/>
        </w:rPr>
        <w:t>本次检验项目</w:t>
      </w:r>
    </w:p>
    <w:p>
      <w:pPr>
        <w:tabs>
          <w:tab w:val="left" w:pos="7948"/>
        </w:tabs>
        <w:spacing w:line="540" w:lineRule="exact"/>
        <w:ind w:firstLine="640" w:firstLineChars="200"/>
        <w:rPr>
          <w:rFonts w:hint="eastAsia" w:eastAsia="黑体"/>
          <w:sz w:val="32"/>
          <w:szCs w:val="32"/>
          <w:highlight w:val="none"/>
          <w:lang w:eastAsia="zh-CN"/>
        </w:rPr>
      </w:pPr>
      <w:r>
        <w:rPr>
          <w:rFonts w:eastAsia="黑体"/>
          <w:sz w:val="32"/>
          <w:szCs w:val="32"/>
          <w:highlight w:val="none"/>
        </w:rPr>
        <w:t>一、</w:t>
      </w:r>
      <w:r>
        <w:rPr>
          <w:rFonts w:hint="eastAsia" w:eastAsia="黑体"/>
          <w:sz w:val="32"/>
          <w:szCs w:val="32"/>
          <w:highlight w:val="none"/>
        </w:rPr>
        <w:t>食用油、油脂及其制品</w:t>
      </w:r>
    </w:p>
    <w:p>
      <w:pPr>
        <w:tabs>
          <w:tab w:val="left" w:pos="5537"/>
        </w:tabs>
        <w:spacing w:line="540" w:lineRule="exact"/>
        <w:ind w:firstLine="640" w:firstLineChars="200"/>
        <w:rPr>
          <w:rFonts w:hint="eastAsia" w:eastAsia="楷体_GB2312"/>
          <w:color w:val="auto"/>
          <w:sz w:val="32"/>
          <w:szCs w:val="32"/>
          <w:highlight w:val="none"/>
          <w:lang w:eastAsia="zh-CN"/>
        </w:rPr>
      </w:pPr>
      <w:r>
        <w:rPr>
          <w:rFonts w:eastAsia="楷体_GB2312"/>
          <w:color w:val="auto"/>
          <w:sz w:val="32"/>
          <w:szCs w:val="32"/>
          <w:highlight w:val="none"/>
        </w:rPr>
        <w:t>（一）抽检依据</w:t>
      </w:r>
    </w:p>
    <w:p>
      <w:pPr>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抽检依据</w:t>
      </w:r>
      <w:r>
        <w:rPr>
          <w:rFonts w:hint="eastAsia" w:eastAsia="仿宋_GB2312"/>
          <w:color w:val="auto"/>
          <w:sz w:val="32"/>
          <w:szCs w:val="32"/>
          <w:highlight w:val="none"/>
          <w:lang w:eastAsia="zh-CN"/>
        </w:rPr>
        <w:t>《食品安全国家标准 植物油》（GB 2716-2018）等标准及产品明示标准和指标的要求。</w:t>
      </w:r>
    </w:p>
    <w:p>
      <w:pPr>
        <w:spacing w:line="540" w:lineRule="exact"/>
        <w:ind w:firstLine="640" w:firstLineChars="200"/>
        <w:rPr>
          <w:rFonts w:eastAsia="仿宋_GB2312"/>
          <w:color w:val="auto"/>
          <w:sz w:val="32"/>
          <w:szCs w:val="32"/>
          <w:highlight w:val="none"/>
        </w:rPr>
      </w:pPr>
      <w:r>
        <w:rPr>
          <w:rFonts w:eastAsia="仿宋_GB2312"/>
          <w:color w:val="auto"/>
          <w:sz w:val="32"/>
          <w:szCs w:val="32"/>
          <w:highlight w:val="none"/>
        </w:rPr>
        <w:t>（二）检验项目</w:t>
      </w:r>
    </w:p>
    <w:p>
      <w:pPr>
        <w:spacing w:line="54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煎炸过程用油</w:t>
      </w:r>
      <w:r>
        <w:rPr>
          <w:rFonts w:hint="eastAsia" w:eastAsia="仿宋_GB2312"/>
          <w:color w:val="auto"/>
          <w:sz w:val="32"/>
          <w:szCs w:val="32"/>
          <w:highlight w:val="none"/>
          <w:lang w:eastAsia="zh-CN"/>
        </w:rPr>
        <w:t>检验项目：酸价（KOH）、极性组分。</w:t>
      </w:r>
    </w:p>
    <w:p>
      <w:pPr>
        <w:spacing w:line="540" w:lineRule="exact"/>
        <w:rPr>
          <w:rFonts w:hint="eastAsia" w:eastAsia="仿宋_GB2312"/>
          <w:color w:val="auto"/>
          <w:sz w:val="32"/>
          <w:szCs w:val="32"/>
          <w:highlight w:val="none"/>
          <w:lang w:val="en-US" w:eastAsia="zh-CN"/>
        </w:rPr>
      </w:pPr>
    </w:p>
    <w:p>
      <w:pPr>
        <w:numPr>
          <w:ilvl w:val="0"/>
          <w:numId w:val="0"/>
        </w:numPr>
        <w:spacing w:line="540" w:lineRule="exact"/>
        <w:ind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二、调味品</w:t>
      </w:r>
    </w:p>
    <w:p>
      <w:pPr>
        <w:tabs>
          <w:tab w:val="left" w:pos="5537"/>
        </w:tabs>
        <w:spacing w:line="540" w:lineRule="exact"/>
        <w:ind w:firstLine="640" w:firstLineChars="200"/>
        <w:rPr>
          <w:rFonts w:hint="eastAsia" w:eastAsia="楷体_GB2312"/>
          <w:color w:val="auto"/>
          <w:sz w:val="32"/>
          <w:szCs w:val="32"/>
          <w:highlight w:val="none"/>
          <w:lang w:eastAsia="zh-CN"/>
        </w:rPr>
      </w:pPr>
      <w:r>
        <w:rPr>
          <w:rFonts w:eastAsia="楷体_GB2312"/>
          <w:color w:val="auto"/>
          <w:sz w:val="32"/>
          <w:szCs w:val="32"/>
          <w:highlight w:val="none"/>
        </w:rPr>
        <w:t>（一）抽检依据</w:t>
      </w:r>
    </w:p>
    <w:p>
      <w:pPr>
        <w:keepNext w:val="0"/>
        <w:keepLines w:val="0"/>
        <w:widowControl/>
        <w:suppressLineNumbers w:val="0"/>
        <w:ind w:firstLine="640" w:firstLineChars="200"/>
        <w:jc w:val="left"/>
        <w:rPr>
          <w:rFonts w:hint="eastAsia" w:eastAsia="仿宋_GB2312"/>
          <w:color w:val="auto"/>
          <w:sz w:val="32"/>
          <w:szCs w:val="32"/>
          <w:highlight w:val="none"/>
          <w:lang w:eastAsia="zh-CN"/>
        </w:rPr>
      </w:pPr>
      <w:r>
        <w:rPr>
          <w:rFonts w:eastAsia="仿宋_GB2312"/>
          <w:color w:val="auto"/>
          <w:sz w:val="32"/>
          <w:szCs w:val="32"/>
          <w:highlight w:val="none"/>
        </w:rPr>
        <w:t>抽检依据</w:t>
      </w:r>
      <w:r>
        <w:rPr>
          <w:rFonts w:hint="eastAsia" w:eastAsia="仿宋_GB2312"/>
          <w:color w:val="auto"/>
          <w:sz w:val="32"/>
          <w:szCs w:val="32"/>
          <w:highlight w:val="none"/>
        </w:rPr>
        <w:t>《食品安全国家标准 食品添加剂使用标准》</w:t>
      </w:r>
      <w:r>
        <w:rPr>
          <w:rFonts w:hint="eastAsia" w:eastAsia="仿宋_GB2312"/>
          <w:color w:val="auto"/>
          <w:sz w:val="32"/>
          <w:szCs w:val="32"/>
          <w:highlight w:val="none"/>
          <w:lang w:eastAsia="zh-CN"/>
        </w:rPr>
        <w:t>（</w:t>
      </w:r>
      <w:r>
        <w:rPr>
          <w:rFonts w:hint="eastAsia" w:eastAsia="仿宋_GB2312"/>
          <w:color w:val="auto"/>
          <w:sz w:val="32"/>
          <w:szCs w:val="32"/>
          <w:highlight w:val="none"/>
        </w:rPr>
        <w:t xml:space="preserve">GB </w:t>
      </w:r>
      <w:r>
        <w:rPr>
          <w:rFonts w:hint="eastAsia" w:eastAsia="仿宋_GB2312"/>
          <w:color w:val="auto"/>
          <w:sz w:val="32"/>
          <w:szCs w:val="32"/>
          <w:highlight w:val="none"/>
          <w:lang w:eastAsia="zh-CN"/>
        </w:rPr>
        <w:t>2760</w:t>
      </w:r>
      <w:r>
        <w:rPr>
          <w:rFonts w:hint="eastAsia" w:eastAsia="仿宋_GB2312"/>
          <w:color w:val="auto"/>
          <w:sz w:val="32"/>
          <w:szCs w:val="32"/>
          <w:highlight w:val="none"/>
        </w:rPr>
        <w:t>-2014</w:t>
      </w:r>
      <w:r>
        <w:rPr>
          <w:rFonts w:hint="eastAsia" w:eastAsia="仿宋_GB2312"/>
          <w:color w:val="auto"/>
          <w:sz w:val="32"/>
          <w:szCs w:val="32"/>
          <w:highlight w:val="none"/>
          <w:lang w:eastAsia="zh-CN"/>
        </w:rPr>
        <w:t>），《酿造食醋》（GB/T 18187-2000），《食品安全国家标准 食醋》</w:t>
      </w:r>
      <w:r>
        <w:rPr>
          <w:rFonts w:hint="eastAsia" w:eastAsia="仿宋_GB2312"/>
          <w:color w:val="auto"/>
          <w:sz w:val="32"/>
          <w:szCs w:val="32"/>
          <w:highlight w:val="none"/>
          <w:lang w:val="en-US" w:eastAsia="zh-CN"/>
        </w:rPr>
        <w:t>（</w:t>
      </w:r>
      <w:r>
        <w:rPr>
          <w:rFonts w:hint="eastAsia" w:eastAsia="仿宋_GB2312"/>
          <w:color w:val="auto"/>
          <w:sz w:val="32"/>
          <w:szCs w:val="32"/>
          <w:highlight w:val="none"/>
          <w:lang w:eastAsia="zh-CN"/>
        </w:rPr>
        <w:t>GB 2719-2018</w:t>
      </w:r>
      <w:r>
        <w:rPr>
          <w:rFonts w:hint="eastAsia" w:eastAsia="仿宋_GB2312"/>
          <w:color w:val="auto"/>
          <w:sz w:val="32"/>
          <w:szCs w:val="32"/>
          <w:highlight w:val="none"/>
          <w:lang w:val="en-US" w:eastAsia="zh-CN"/>
        </w:rPr>
        <w:t>）</w:t>
      </w:r>
      <w:r>
        <w:rPr>
          <w:rFonts w:hint="eastAsia" w:eastAsia="仿宋_GB2312"/>
          <w:color w:val="auto"/>
          <w:sz w:val="32"/>
          <w:szCs w:val="32"/>
          <w:highlight w:val="none"/>
          <w:lang w:eastAsia="zh-CN"/>
        </w:rPr>
        <w:t>等标准及产品明示标准和指标的要求。</w:t>
      </w:r>
    </w:p>
    <w:p>
      <w:pPr>
        <w:spacing w:line="540" w:lineRule="exact"/>
        <w:ind w:firstLine="640" w:firstLineChars="200"/>
        <w:rPr>
          <w:rFonts w:eastAsia="楷体_GB2312"/>
          <w:color w:val="auto"/>
          <w:sz w:val="32"/>
          <w:szCs w:val="32"/>
          <w:highlight w:val="none"/>
        </w:rPr>
      </w:pPr>
      <w:r>
        <w:rPr>
          <w:rFonts w:eastAsia="楷体_GB2312"/>
          <w:color w:val="auto"/>
          <w:sz w:val="32"/>
          <w:szCs w:val="32"/>
          <w:highlight w:val="none"/>
        </w:rPr>
        <w:t>（二）检验项目</w:t>
      </w:r>
    </w:p>
    <w:p>
      <w:pPr>
        <w:numPr>
          <w:ilvl w:val="0"/>
          <w:numId w:val="0"/>
        </w:numPr>
        <w:spacing w:line="540" w:lineRule="exact"/>
        <w:ind w:firstLine="640"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食醋检验项目：总酸（以乙酸计）、苯甲酸及其钠盐（以苯甲酸计）、山梨酸及其钾盐（以山梨酸计）、脱氢乙酸及其钠盐（以脱氢乙酸计）、对羟基苯甲酸酯类及其钠盐（以对羟基苯甲酸计）、糖精钠（以糖精计）、菌落总数、大肠菌群。</w:t>
      </w:r>
    </w:p>
    <w:p>
      <w:pPr>
        <w:spacing w:line="540" w:lineRule="exact"/>
        <w:ind w:firstLine="640" w:firstLineChars="200"/>
        <w:rPr>
          <w:rFonts w:hint="eastAsia" w:ascii="黑体" w:hAnsi="黑体" w:eastAsia="黑体" w:cs="黑体"/>
          <w:color w:val="auto"/>
          <w:sz w:val="32"/>
          <w:szCs w:val="32"/>
          <w:highlight w:val="none"/>
          <w:lang w:val="en-US" w:eastAsia="zh-CN"/>
        </w:rPr>
      </w:pPr>
    </w:p>
    <w:p>
      <w:pPr>
        <w:spacing w:line="540" w:lineRule="exact"/>
        <w:ind w:firstLine="640" w:firstLineChars="200"/>
        <w:rPr>
          <w:rFonts w:hint="default" w:eastAsia="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w:t>
      </w:r>
      <w:r>
        <w:rPr>
          <w:rFonts w:hint="eastAsia" w:eastAsia="黑体"/>
          <w:color w:val="auto"/>
          <w:sz w:val="32"/>
          <w:szCs w:val="32"/>
          <w:highlight w:val="none"/>
          <w:lang w:val="en-US" w:eastAsia="zh-CN"/>
        </w:rPr>
        <w:t>饮料</w:t>
      </w:r>
    </w:p>
    <w:p>
      <w:pPr>
        <w:numPr>
          <w:ilvl w:val="0"/>
          <w:numId w:val="0"/>
        </w:numPr>
        <w:spacing w:line="540" w:lineRule="exact"/>
        <w:ind w:firstLine="640" w:firstLineChars="200"/>
        <w:rPr>
          <w:rFonts w:eastAsia="楷体_GB2312"/>
          <w:color w:val="auto"/>
          <w:sz w:val="32"/>
          <w:szCs w:val="32"/>
          <w:highlight w:val="none"/>
        </w:rPr>
      </w:pPr>
      <w:r>
        <w:rPr>
          <w:rFonts w:eastAsia="楷体_GB2312"/>
          <w:color w:val="auto"/>
          <w:sz w:val="32"/>
          <w:szCs w:val="32"/>
          <w:highlight w:val="none"/>
        </w:rPr>
        <w:t>（一）抽检依据</w:t>
      </w:r>
    </w:p>
    <w:p>
      <w:pPr>
        <w:spacing w:line="540" w:lineRule="exact"/>
        <w:ind w:firstLine="640"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抽检依据《食品安全国家标准 食品中污染物限量》（GB 2762-2017），《食品安全国家标准 包装饮用水》（GB 19298-2014）等标准及产品明示标准和指标的要求。</w:t>
      </w:r>
    </w:p>
    <w:p>
      <w:pPr>
        <w:spacing w:line="540" w:lineRule="exact"/>
        <w:ind w:firstLine="640" w:firstLineChars="200"/>
        <w:rPr>
          <w:rFonts w:eastAsia="楷体_GB2312"/>
          <w:color w:val="auto"/>
          <w:sz w:val="32"/>
          <w:szCs w:val="32"/>
          <w:highlight w:val="none"/>
        </w:rPr>
      </w:pPr>
      <w:r>
        <w:rPr>
          <w:rFonts w:eastAsia="楷体_GB2312"/>
          <w:color w:val="auto"/>
          <w:sz w:val="32"/>
          <w:szCs w:val="32"/>
          <w:highlight w:val="none"/>
        </w:rPr>
        <w:t>（二）检验项目</w:t>
      </w:r>
    </w:p>
    <w:p>
      <w:pPr>
        <w:spacing w:line="540" w:lineRule="exact"/>
        <w:ind w:firstLine="640"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饮用纯净水检验项目：耗氧量（以O</w:t>
      </w:r>
      <w:r>
        <w:rPr>
          <w:rFonts w:hint="eastAsia" w:eastAsia="仿宋_GB2312"/>
          <w:color w:val="auto"/>
          <w:sz w:val="32"/>
          <w:szCs w:val="32"/>
          <w:highlight w:val="none"/>
          <w:vertAlign w:val="subscript"/>
          <w:lang w:val="en-US" w:eastAsia="zh-CN"/>
        </w:rPr>
        <w:t>2</w:t>
      </w:r>
      <w:r>
        <w:rPr>
          <w:rFonts w:hint="eastAsia" w:eastAsia="仿宋_GB2312"/>
          <w:color w:val="auto"/>
          <w:sz w:val="32"/>
          <w:szCs w:val="32"/>
          <w:highlight w:val="none"/>
          <w:lang w:val="en-US" w:eastAsia="zh-CN"/>
        </w:rPr>
        <w:t>计）、亚硝酸盐（以NO</w:t>
      </w:r>
      <w:r>
        <w:rPr>
          <w:rFonts w:hint="eastAsia" w:eastAsia="仿宋_GB2312"/>
          <w:color w:val="auto"/>
          <w:sz w:val="32"/>
          <w:szCs w:val="32"/>
          <w:highlight w:val="none"/>
          <w:vertAlign w:val="subscript"/>
          <w:lang w:val="en-US" w:eastAsia="zh-CN"/>
        </w:rPr>
        <w:t>2</w:t>
      </w:r>
      <w:r>
        <w:rPr>
          <w:rFonts w:hint="eastAsia" w:eastAsia="仿宋_GB2312"/>
          <w:color w:val="auto"/>
          <w:sz w:val="36"/>
          <w:szCs w:val="36"/>
          <w:highlight w:val="none"/>
          <w:vertAlign w:val="superscript"/>
          <w:lang w:val="en-US" w:eastAsia="zh-CN"/>
        </w:rPr>
        <w:t>-</w:t>
      </w:r>
      <w:r>
        <w:rPr>
          <w:rFonts w:hint="eastAsia" w:eastAsia="仿宋_GB2312"/>
          <w:color w:val="auto"/>
          <w:sz w:val="32"/>
          <w:szCs w:val="32"/>
          <w:highlight w:val="none"/>
          <w:lang w:val="en-US" w:eastAsia="zh-CN"/>
        </w:rPr>
        <w:t>计）、余氯（游离氯）、三氯甲烷、溴酸盐、大肠菌群、铜绿假单胞菌。</w:t>
      </w:r>
    </w:p>
    <w:p>
      <w:pPr>
        <w:numPr>
          <w:ilvl w:val="0"/>
          <w:numId w:val="0"/>
        </w:numPr>
        <w:spacing w:line="540" w:lineRule="exact"/>
        <w:rPr>
          <w:rFonts w:hint="eastAsia" w:eastAsia="黑体"/>
          <w:color w:val="auto"/>
          <w:sz w:val="32"/>
          <w:szCs w:val="32"/>
          <w:highlight w:val="none"/>
          <w:lang w:val="en-US" w:eastAsia="zh-CN"/>
        </w:rPr>
      </w:pPr>
    </w:p>
    <w:p>
      <w:pPr>
        <w:numPr>
          <w:ilvl w:val="0"/>
          <w:numId w:val="0"/>
        </w:numPr>
        <w:spacing w:line="560" w:lineRule="exact"/>
        <w:ind w:firstLine="640" w:firstLineChars="200"/>
        <w:jc w:val="left"/>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四、餐饮食品</w:t>
      </w:r>
    </w:p>
    <w:p>
      <w:pPr>
        <w:spacing w:line="540" w:lineRule="exact"/>
        <w:ind w:firstLine="640" w:firstLineChars="200"/>
        <w:rPr>
          <w:rFonts w:eastAsia="楷体_GB2312"/>
          <w:sz w:val="32"/>
          <w:szCs w:val="32"/>
        </w:rPr>
      </w:pPr>
      <w:r>
        <w:rPr>
          <w:rFonts w:eastAsia="楷体_GB2312"/>
          <w:sz w:val="32"/>
          <w:szCs w:val="32"/>
        </w:rPr>
        <w:t>（一）抽检依据</w:t>
      </w:r>
    </w:p>
    <w:p>
      <w:pPr>
        <w:pStyle w:val="11"/>
        <w:spacing w:line="54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抽检依据</w:t>
      </w:r>
      <w:r>
        <w:rPr>
          <w:rFonts w:hint="eastAsia" w:ascii="Times New Roman" w:hAnsi="Times New Roman" w:eastAsia="仿宋_GB2312" w:cs="Times New Roman"/>
          <w:sz w:val="32"/>
          <w:szCs w:val="32"/>
          <w:highlight w:val="none"/>
          <w:lang w:eastAsia="zh-CN"/>
        </w:rPr>
        <w:t>《食品安全国家标准 食品中污染物限量》（GB 2762-2017），《食品安全国家标准 食品中真菌毒素限量》（GB 2761</w:t>
      </w:r>
      <w:r>
        <w:rPr>
          <w:rFonts w:hint="eastAsia" w:ascii="Times New Roman" w:hAnsi="Times New Roman" w:eastAsia="仿宋_GB2312" w:cs="Times New Roman"/>
          <w:sz w:val="32"/>
          <w:szCs w:val="32"/>
          <w:highlight w:val="none"/>
          <w:lang w:val="en-US" w:eastAsia="zh-CN"/>
        </w:rPr>
        <w:t>-2017</w:t>
      </w:r>
      <w:r>
        <w:rPr>
          <w:rFonts w:hint="eastAsia" w:ascii="Times New Roman" w:hAnsi="Times New Roman" w:eastAsia="仿宋_GB2312" w:cs="Times New Roman"/>
          <w:sz w:val="32"/>
          <w:szCs w:val="32"/>
          <w:highlight w:val="none"/>
          <w:lang w:eastAsia="zh-CN"/>
        </w:rPr>
        <w:t>），《食品安全国家标准 食品添加剂使用标准》（GB 2760-2014），《食品安全国家标准 糕点、面包》（GB 7099-2015），国家卫生健康委2020年第4号公告</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kern w:val="0"/>
          <w:sz w:val="32"/>
          <w:szCs w:val="32"/>
          <w:highlight w:val="none"/>
        </w:rPr>
        <w:t>中华人民共和国卫生部、国家食品药品监督管理局公告</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kern w:val="0"/>
          <w:sz w:val="32"/>
          <w:szCs w:val="32"/>
          <w:highlight w:val="none"/>
        </w:rPr>
        <w:t>（</w:t>
      </w:r>
      <w:r>
        <w:rPr>
          <w:rFonts w:ascii="Times New Roman" w:hAnsi="Times New Roman" w:eastAsia="仿宋_GB2312"/>
          <w:kern w:val="0"/>
          <w:sz w:val="32"/>
          <w:szCs w:val="32"/>
          <w:highlight w:val="none"/>
        </w:rPr>
        <w:t>2012</w:t>
      </w:r>
      <w:r>
        <w:rPr>
          <w:rFonts w:hint="eastAsia" w:ascii="Times New Roman" w:hAnsi="Times New Roman" w:eastAsia="仿宋_GB2312"/>
          <w:kern w:val="0"/>
          <w:sz w:val="32"/>
          <w:szCs w:val="32"/>
          <w:highlight w:val="none"/>
        </w:rPr>
        <w:t>年第</w:t>
      </w:r>
      <w:r>
        <w:rPr>
          <w:rFonts w:ascii="Times New Roman" w:hAnsi="Times New Roman" w:eastAsia="仿宋_GB2312"/>
          <w:kern w:val="0"/>
          <w:sz w:val="32"/>
          <w:szCs w:val="32"/>
          <w:highlight w:val="none"/>
        </w:rPr>
        <w:t>10</w:t>
      </w:r>
      <w:r>
        <w:rPr>
          <w:rFonts w:hint="eastAsia" w:ascii="Times New Roman" w:hAnsi="Times New Roman" w:eastAsia="仿宋_GB2312"/>
          <w:kern w:val="0"/>
          <w:sz w:val="32"/>
          <w:szCs w:val="32"/>
          <w:highlight w:val="none"/>
        </w:rPr>
        <w:t>号）</w:t>
      </w:r>
      <w:r>
        <w:rPr>
          <w:rFonts w:hint="eastAsia" w:ascii="Times New Roman" w:hAnsi="Times New Roman" w:eastAsia="仿宋_GB2312"/>
          <w:kern w:val="0"/>
          <w:sz w:val="32"/>
          <w:szCs w:val="32"/>
          <w:highlight w:val="none"/>
          <w:lang w:eastAsia="zh-CN"/>
        </w:rPr>
        <w:t>，</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卫生部等7部门关于撤销食品添加剂过氧化苯甲酰、过氧化钙的公告</w:t>
      </w:r>
      <w:r>
        <w:rPr>
          <w:rFonts w:hint="eastAsia" w:ascii="Times New Roman" w:hAnsi="Times New Roman" w:eastAsia="仿宋_GB2312" w:cs="Times New Roman"/>
          <w:sz w:val="32"/>
          <w:szCs w:val="32"/>
          <w:highlight w:val="none"/>
          <w:lang w:eastAsia="zh-CN"/>
        </w:rPr>
        <w:t>》（卫生部公告[2011]第4号），全国打击违法添加非食用物质和滥用食品添加剂专项整治领导小组关于印发《食品中可能违法添加的非食用物质和易滥用的食品添加剂品种名单（第一批）》的通知（食品整治办〔2008〕3号）</w:t>
      </w:r>
      <w:r>
        <w:rPr>
          <w:rFonts w:hint="eastAsia" w:ascii="Times New Roman" w:hAnsi="Times New Roman" w:eastAsia="仿宋_GB2312" w:cs="Times New Roman"/>
          <w:sz w:val="32"/>
          <w:szCs w:val="32"/>
          <w:highlight w:val="none"/>
          <w:lang w:val="en-US" w:eastAsia="zh-CN"/>
        </w:rPr>
        <w:t>，全国打击违法添加非食用物质和滥用食品添加剂专项整治领导小组关于印发《食品中可能违法添加的非食用物质名单（第二批）》的通知（食品整治办〔2009〕5号）,</w:t>
      </w:r>
      <w:r>
        <w:rPr>
          <w:rFonts w:hint="eastAsia" w:ascii="Times New Roman" w:hAnsi="Times New Roman" w:eastAsia="仿宋_GB2312" w:cs="Times New Roman"/>
          <w:sz w:val="32"/>
          <w:szCs w:val="32"/>
          <w:highlight w:val="none"/>
          <w:lang w:eastAsia="zh-CN"/>
        </w:rPr>
        <w:t>全国食品安全整顿工作办公室关于印发《食品中可能违法添加的非食用物质和易滥用的食品添加剂名单（第四批）》的通知（整顿办函〔2010〕50号），全国食品安全整顿工作办公室关于印发《食品中可能违法添加的非食用物质和易滥用的食品添加剂品种名单（第五批）》的通知（整顿办函〔2011〕1号）等标准及产品明示标准和指标的要求</w:t>
      </w:r>
      <w:r>
        <w:rPr>
          <w:rFonts w:hint="default" w:ascii="Times New Roman" w:hAnsi="Times New Roman" w:eastAsia="仿宋_GB2312" w:cs="Times New Roman"/>
          <w:sz w:val="32"/>
          <w:szCs w:val="32"/>
          <w:highlight w:val="none"/>
        </w:rPr>
        <w:t>。</w:t>
      </w:r>
    </w:p>
    <w:p>
      <w:pPr>
        <w:spacing w:line="540" w:lineRule="exact"/>
        <w:ind w:firstLine="640" w:firstLineChars="200"/>
        <w:outlineLvl w:val="2"/>
        <w:rPr>
          <w:rFonts w:eastAsia="楷体_GB2312"/>
          <w:sz w:val="32"/>
          <w:szCs w:val="32"/>
          <w:highlight w:val="none"/>
        </w:rPr>
      </w:pPr>
      <w:r>
        <w:rPr>
          <w:rFonts w:eastAsia="楷体_GB2312"/>
          <w:sz w:val="32"/>
          <w:szCs w:val="32"/>
          <w:highlight w:val="none"/>
        </w:rPr>
        <w:t>（二）检验项目</w:t>
      </w:r>
    </w:p>
    <w:p>
      <w:pPr>
        <w:shd w:val="clear"/>
        <w:spacing w:line="54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w:t>
      </w:r>
      <w:r>
        <w:rPr>
          <w:rFonts w:hint="default" w:ascii="Times New Roman" w:hAnsi="Times New Roman" w:eastAsia="仿宋_GB2312" w:cs="Times New Roman"/>
          <w:kern w:val="2"/>
          <w:sz w:val="32"/>
          <w:szCs w:val="32"/>
          <w:highlight w:val="none"/>
          <w:lang w:val="en-US" w:eastAsia="zh-CN" w:bidi="ar-SA"/>
        </w:rPr>
        <w:t>.发酵面制品</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自制</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检验项目：苯甲酸及其钠盐</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以苯甲酸计</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山梨酸及其钾盐</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以山梨酸计</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糖精钠</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以糖精计</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w:t>
      </w:r>
    </w:p>
    <w:p>
      <w:pPr>
        <w:spacing w:line="54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2.油炸面制品（自制）检验项目：铝的残留量（干样品，以Al计）。</w:t>
      </w:r>
    </w:p>
    <w:p>
      <w:pPr>
        <w:spacing w:line="54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3</w:t>
      </w:r>
      <w:r>
        <w:rPr>
          <w:rFonts w:hint="default" w:ascii="Times New Roman" w:hAnsi="Times New Roman" w:eastAsia="仿宋_GB2312" w:cs="Times New Roman"/>
          <w:kern w:val="2"/>
          <w:sz w:val="32"/>
          <w:szCs w:val="32"/>
          <w:highlight w:val="none"/>
          <w:lang w:val="en-US" w:eastAsia="zh-CN" w:bidi="ar-SA"/>
        </w:rPr>
        <w:t>.酱卤肉制品、肉灌肠、其他熟肉</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自制</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检验项目：胭脂红</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苯甲酸及其钠盐</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以苯甲酸计</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山梨酸及其钾盐</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以山梨酸计</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糖精钠</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以糖精计</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脱氢乙酸及其钠盐</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以脱氢乙酸计</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w:t>
      </w:r>
    </w:p>
    <w:p>
      <w:pPr>
        <w:spacing w:line="54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4</w:t>
      </w:r>
      <w:r>
        <w:rPr>
          <w:rFonts w:hint="default" w:ascii="Times New Roman" w:hAnsi="Times New Roman" w:eastAsia="仿宋_GB2312" w:cs="Times New Roman"/>
          <w:kern w:val="2"/>
          <w:sz w:val="32"/>
          <w:szCs w:val="32"/>
          <w:highlight w:val="none"/>
          <w:lang w:val="en-US" w:eastAsia="zh-CN" w:bidi="ar-SA"/>
        </w:rPr>
        <w:t>.熏烧烤肉制品</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餐饮</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检验项目：N-二甲基亚硝胺</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沙丁胺醇</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莱克多巴胺</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克伦特罗</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胭脂红</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铅</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以Pb计</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镉</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以Cd计</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铬</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以Cr计</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苯并[a]芘</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亚硝酸盐</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以亚硝酸钠计</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苯甲酸及其钠盐</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以苯甲酸计</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山梨酸及其钾盐</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以山梨酸计</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w:t>
      </w:r>
    </w:p>
    <w:p>
      <w:pPr>
        <w:spacing w:line="54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5</w:t>
      </w:r>
      <w:r>
        <w:rPr>
          <w:rFonts w:hint="default" w:ascii="Times New Roman" w:hAnsi="Times New Roman" w:eastAsia="仿宋_GB2312" w:cs="Times New Roman"/>
          <w:kern w:val="2"/>
          <w:sz w:val="32"/>
          <w:szCs w:val="32"/>
          <w:highlight w:val="none"/>
          <w:lang w:val="en-US" w:eastAsia="zh-CN" w:bidi="ar-SA"/>
        </w:rPr>
        <w:t>.其他调味品</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餐饮</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检验项目：铅</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以Pb计</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w:t>
      </w:r>
    </w:p>
    <w:p>
      <w:pPr>
        <w:spacing w:line="540" w:lineRule="exact"/>
        <w:ind w:firstLine="640" w:firstLineChars="200"/>
        <w:rPr>
          <w:rFonts w:hint="eastAsia"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6</w:t>
      </w:r>
      <w:r>
        <w:rPr>
          <w:rFonts w:hint="default" w:ascii="Times New Roman" w:hAnsi="Times New Roman" w:eastAsia="仿宋_GB2312" w:cs="Times New Roman"/>
          <w:kern w:val="2"/>
          <w:sz w:val="32"/>
          <w:szCs w:val="32"/>
          <w:highlight w:val="none"/>
          <w:lang w:val="en-US" w:eastAsia="zh-CN" w:bidi="ar-SA"/>
        </w:rPr>
        <w:t>.糕点</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餐饮单位自制</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检验项目：丙二醇</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苏丹红Ⅳ</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苏丹红Ⅲ</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苏丹红Ⅱ</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苏丹红Ⅰ</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糖精钠</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以糖精计</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苯甲酸及其钠盐</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以苯甲酸计</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山梨酸及其钾盐</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以山梨酸计</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甜蜜素</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以环己基氨基磺酸计</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脱氢乙酸及其钠盐</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以脱氢乙酸计</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铝的残留量</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干样品，以Al计</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过氧化值</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以脂肪计</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酸价</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以脂肪计</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KOH</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铅</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以Pb计</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安赛蜜</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纳他霉素</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富马酸二甲酯</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丙酸及其钠盐、钙盐</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以丙酸计</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三氯蔗糖</w:t>
      </w:r>
      <w:r>
        <w:rPr>
          <w:rFonts w:hint="eastAsia" w:ascii="Times New Roman" w:hAnsi="Times New Roman" w:eastAsia="仿宋_GB2312" w:cs="Times New Roman"/>
          <w:kern w:val="2"/>
          <w:sz w:val="32"/>
          <w:szCs w:val="32"/>
          <w:highlight w:val="none"/>
          <w:lang w:val="en-US" w:eastAsia="zh-CN" w:bidi="ar-SA"/>
        </w:rPr>
        <w:t>。</w:t>
      </w:r>
    </w:p>
    <w:p>
      <w:pPr>
        <w:numPr>
          <w:ilvl w:val="0"/>
          <w:numId w:val="0"/>
        </w:numPr>
        <w:spacing w:line="560" w:lineRule="exact"/>
        <w:ind w:firstLine="640" w:firstLineChars="200"/>
        <w:jc w:val="left"/>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7</w:t>
      </w:r>
      <w:r>
        <w:rPr>
          <w:rFonts w:hint="default" w:ascii="Times New Roman" w:hAnsi="Times New Roman" w:eastAsia="仿宋_GB2312" w:cs="Times New Roman"/>
          <w:kern w:val="2"/>
          <w:sz w:val="32"/>
          <w:szCs w:val="32"/>
          <w:highlight w:val="none"/>
          <w:lang w:val="en-US" w:eastAsia="zh-CN" w:bidi="ar-SA"/>
        </w:rPr>
        <w:t>.其他米面制品</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餐饮</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检验项目：硼砂</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以硼酸计</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过氧化苯甲酰</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铅</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以Pb计</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甲醛次硫酸氢钠</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以甲醛计</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w:t>
      </w:r>
    </w:p>
    <w:p>
      <w:pPr>
        <w:numPr>
          <w:ilvl w:val="0"/>
          <w:numId w:val="0"/>
        </w:numPr>
        <w:spacing w:line="560" w:lineRule="exact"/>
        <w:jc w:val="left"/>
        <w:rPr>
          <w:rFonts w:hint="eastAsia" w:ascii="Times New Roman" w:hAnsi="Times New Roman" w:eastAsia="仿宋_GB2312" w:cs="Times New Roman"/>
          <w:kern w:val="2"/>
          <w:sz w:val="32"/>
          <w:szCs w:val="32"/>
          <w:highlight w:val="none"/>
          <w:lang w:val="en-US" w:eastAsia="zh-CN" w:bidi="ar-SA"/>
        </w:rPr>
      </w:pPr>
      <w:bookmarkStart w:id="0" w:name="_GoBack"/>
      <w:bookmarkEnd w:id="0"/>
    </w:p>
    <w:p>
      <w:pPr>
        <w:numPr>
          <w:ilvl w:val="0"/>
          <w:numId w:val="0"/>
        </w:numPr>
        <w:spacing w:line="560" w:lineRule="exact"/>
        <w:ind w:firstLine="640" w:firstLineChars="200"/>
        <w:jc w:val="left"/>
        <w:rPr>
          <w:rFonts w:hint="eastAsia" w:ascii="Times New Roman" w:hAnsi="Times New Roman" w:eastAsia="黑体"/>
          <w:color w:val="auto"/>
          <w:sz w:val="32"/>
          <w:szCs w:val="32"/>
          <w:lang w:val="en-US" w:eastAsia="zh-CN"/>
        </w:rPr>
      </w:pPr>
      <w:r>
        <w:rPr>
          <w:rFonts w:hint="eastAsia" w:eastAsia="黑体"/>
          <w:color w:val="auto"/>
          <w:sz w:val="32"/>
          <w:szCs w:val="32"/>
          <w:lang w:val="en-US" w:eastAsia="zh-CN"/>
        </w:rPr>
        <w:t>五、</w:t>
      </w:r>
      <w:r>
        <w:rPr>
          <w:rFonts w:hint="eastAsia" w:ascii="Times New Roman" w:hAnsi="Times New Roman" w:eastAsia="黑体"/>
          <w:color w:val="auto"/>
          <w:sz w:val="32"/>
          <w:szCs w:val="32"/>
          <w:lang w:val="en-US" w:eastAsia="zh-CN"/>
        </w:rPr>
        <w:t>食用农产品</w:t>
      </w:r>
    </w:p>
    <w:p>
      <w:pPr>
        <w:spacing w:line="540" w:lineRule="exact"/>
        <w:ind w:firstLine="640" w:firstLineChars="200"/>
        <w:rPr>
          <w:rFonts w:eastAsia="楷体_GB2312"/>
          <w:sz w:val="32"/>
          <w:szCs w:val="32"/>
        </w:rPr>
      </w:pPr>
      <w:r>
        <w:rPr>
          <w:rFonts w:eastAsia="楷体_GB2312"/>
          <w:sz w:val="32"/>
          <w:szCs w:val="32"/>
        </w:rPr>
        <w:t>（一）抽检依据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抽检依据</w:t>
      </w:r>
      <w:r>
        <w:rPr>
          <w:rFonts w:hint="eastAsia" w:eastAsia="仿宋_GB2312"/>
          <w:sz w:val="32"/>
          <w:szCs w:val="32"/>
          <w:highlight w:val="none"/>
        </w:rPr>
        <w:t>《食品安全国家标准 食品中污染物限量》（GB 2762-2017）</w:t>
      </w:r>
      <w:r>
        <w:rPr>
          <w:rFonts w:hint="eastAsia" w:eastAsia="仿宋_GB2312"/>
          <w:sz w:val="32"/>
          <w:szCs w:val="32"/>
          <w:highlight w:val="none"/>
          <w:lang w:eastAsia="zh-CN"/>
        </w:rPr>
        <w:t>，</w:t>
      </w:r>
      <w:r>
        <w:rPr>
          <w:rFonts w:hint="eastAsia" w:eastAsia="仿宋_GB2312"/>
          <w:sz w:val="32"/>
          <w:szCs w:val="32"/>
          <w:highlight w:val="none"/>
        </w:rPr>
        <w:t>《豆芽卫生标准》（</w:t>
      </w:r>
      <w:r>
        <w:rPr>
          <w:rFonts w:eastAsia="仿宋_GB2312"/>
          <w:sz w:val="32"/>
          <w:szCs w:val="32"/>
          <w:highlight w:val="none"/>
        </w:rPr>
        <w:t>GB 22556-2008</w:t>
      </w:r>
      <w:r>
        <w:rPr>
          <w:rFonts w:hint="eastAsia" w:eastAsia="仿宋_GB2312"/>
          <w:sz w:val="32"/>
          <w:szCs w:val="32"/>
          <w:highlight w:val="none"/>
        </w:rPr>
        <w:t>），</w:t>
      </w:r>
      <w:r>
        <w:rPr>
          <w:rFonts w:hint="eastAsia" w:eastAsia="仿宋_GB2312"/>
          <w:sz w:val="32"/>
          <w:szCs w:val="32"/>
          <w:highlight w:val="none"/>
          <w:lang w:eastAsia="zh-CN"/>
        </w:rPr>
        <w:t>《</w:t>
      </w:r>
      <w:r>
        <w:rPr>
          <w:rFonts w:hint="eastAsia" w:eastAsia="仿宋_GB2312"/>
          <w:sz w:val="32"/>
          <w:szCs w:val="32"/>
          <w:highlight w:val="none"/>
        </w:rPr>
        <w:t>国家食品药品监督管理总局农业部国家卫生和计划生育委员会关于豆芽生产过程中禁止使用6-苄基腺嘌呤等物质的公告</w:t>
      </w:r>
      <w:r>
        <w:rPr>
          <w:rFonts w:hint="eastAsia" w:eastAsia="仿宋_GB2312"/>
          <w:sz w:val="32"/>
          <w:szCs w:val="32"/>
          <w:highlight w:val="none"/>
          <w:lang w:eastAsia="zh-CN"/>
        </w:rPr>
        <w:t>》</w:t>
      </w:r>
      <w:r>
        <w:rPr>
          <w:rFonts w:hint="eastAsia" w:eastAsia="仿宋_GB2312"/>
          <w:sz w:val="32"/>
          <w:szCs w:val="32"/>
          <w:highlight w:val="none"/>
        </w:rPr>
        <w:t>（2015年第11号）</w:t>
      </w:r>
      <w:r>
        <w:rPr>
          <w:rFonts w:hint="eastAsia" w:eastAsia="仿宋_GB2312"/>
          <w:sz w:val="32"/>
          <w:szCs w:val="32"/>
          <w:highlight w:val="none"/>
          <w:lang w:eastAsia="zh-CN"/>
        </w:rPr>
        <w:t>，</w:t>
      </w:r>
      <w:r>
        <w:rPr>
          <w:rFonts w:hint="eastAsia" w:eastAsia="仿宋_GB2312"/>
          <w:sz w:val="32"/>
          <w:szCs w:val="32"/>
          <w:highlight w:val="none"/>
        </w:rPr>
        <w:t>《食品安全国家标准 鲜（冻）畜、禽产品》（GB 2707-2016）</w:t>
      </w:r>
      <w:r>
        <w:rPr>
          <w:rFonts w:hint="eastAsia" w:eastAsia="仿宋_GB2312"/>
          <w:sz w:val="32"/>
          <w:szCs w:val="32"/>
          <w:highlight w:val="none"/>
          <w:lang w:eastAsia="zh-CN"/>
        </w:rPr>
        <w:t>，</w:t>
      </w:r>
      <w:r>
        <w:rPr>
          <w:rFonts w:hint="eastAsia" w:eastAsia="仿宋_GB2312"/>
          <w:sz w:val="32"/>
          <w:szCs w:val="32"/>
          <w:highlight w:val="none"/>
        </w:rPr>
        <w:t>《食品安全国家标准 食品中兽药最大残留限量》（</w:t>
      </w:r>
      <w:r>
        <w:rPr>
          <w:rFonts w:eastAsia="仿宋_GB2312"/>
          <w:sz w:val="32"/>
          <w:szCs w:val="32"/>
          <w:highlight w:val="none"/>
        </w:rPr>
        <w:t>GB 31650-2019</w:t>
      </w:r>
      <w:r>
        <w:rPr>
          <w:rFonts w:hint="eastAsia" w:eastAsia="仿宋_GB2312"/>
          <w:sz w:val="32"/>
          <w:szCs w:val="32"/>
          <w:highlight w:val="none"/>
        </w:rPr>
        <w:t>）</w:t>
      </w:r>
      <w:r>
        <w:rPr>
          <w:rFonts w:hint="eastAsia" w:eastAsia="仿宋_GB2312"/>
          <w:sz w:val="32"/>
          <w:szCs w:val="32"/>
          <w:highlight w:val="none"/>
          <w:lang w:eastAsia="zh-CN"/>
        </w:rPr>
        <w:t>，</w:t>
      </w:r>
      <w:r>
        <w:rPr>
          <w:rFonts w:hint="eastAsia" w:eastAsia="仿宋_GB2312"/>
          <w:sz w:val="32"/>
          <w:szCs w:val="32"/>
          <w:highlight w:val="none"/>
        </w:rPr>
        <w:t>《发布在食品动物中停止使用洛美沙星、培氟沙星、氧氟沙星、诺氟沙星4种兽药的决定》（农业部公告第2292号）</w:t>
      </w:r>
      <w:r>
        <w:rPr>
          <w:rFonts w:hint="eastAsia" w:eastAsia="仿宋_GB2312"/>
          <w:sz w:val="32"/>
          <w:szCs w:val="32"/>
          <w:highlight w:val="none"/>
          <w:lang w:eastAsia="zh-CN"/>
        </w:rPr>
        <w:t>，</w:t>
      </w:r>
      <w:r>
        <w:rPr>
          <w:rFonts w:hint="eastAsia" w:eastAsia="仿宋_GB2312"/>
          <w:sz w:val="32"/>
          <w:szCs w:val="32"/>
          <w:highlight w:val="none"/>
        </w:rPr>
        <w:t>《食品动物中禁止使用的药品及其他化合物清单》（农业农村部公告 第250号）</w:t>
      </w:r>
      <w:r>
        <w:rPr>
          <w:rFonts w:hint="eastAsia" w:eastAsia="仿宋_GB2312"/>
          <w:sz w:val="32"/>
          <w:szCs w:val="32"/>
          <w:highlight w:val="none"/>
          <w:lang w:eastAsia="zh-CN"/>
        </w:rPr>
        <w:t>，《兽药地方标准废止目录》（农业部公告第560号）</w:t>
      </w:r>
      <w:r>
        <w:rPr>
          <w:rFonts w:hint="eastAsia" w:eastAsia="仿宋_GB2312"/>
          <w:sz w:val="32"/>
          <w:szCs w:val="32"/>
        </w:rPr>
        <w:t>等标准</w:t>
      </w:r>
      <w:r>
        <w:rPr>
          <w:rFonts w:eastAsia="仿宋_GB2312"/>
          <w:sz w:val="32"/>
          <w:szCs w:val="32"/>
        </w:rPr>
        <w:t>及产品明示标准和指标的要求。</w:t>
      </w:r>
    </w:p>
    <w:p>
      <w:pPr>
        <w:numPr>
          <w:ilvl w:val="0"/>
          <w:numId w:val="2"/>
        </w:numPr>
        <w:spacing w:line="540" w:lineRule="exact"/>
        <w:ind w:firstLine="640" w:firstLineChars="200"/>
        <w:outlineLvl w:val="9"/>
        <w:rPr>
          <w:rFonts w:eastAsia="楷体_GB2312"/>
          <w:sz w:val="32"/>
          <w:szCs w:val="32"/>
        </w:rPr>
      </w:pPr>
      <w:r>
        <w:rPr>
          <w:rFonts w:eastAsia="楷体_GB2312"/>
          <w:sz w:val="32"/>
          <w:szCs w:val="32"/>
        </w:rPr>
        <w:t>检验项目</w:t>
      </w:r>
    </w:p>
    <w:p>
      <w:pPr>
        <w:numPr>
          <w:ilvl w:val="0"/>
          <w:numId w:val="0"/>
        </w:numPr>
        <w:spacing w:line="540" w:lineRule="exact"/>
        <w:ind w:firstLine="640" w:firstLineChars="200"/>
        <w:outlineLvl w:val="9"/>
        <w:rPr>
          <w:rFonts w:hint="eastAsia" w:eastAsia="仿宋_GB2312"/>
          <w:sz w:val="32"/>
          <w:szCs w:val="32"/>
          <w:lang w:val="en-US" w:eastAsia="zh-CN"/>
        </w:rPr>
      </w:pPr>
      <w:r>
        <w:rPr>
          <w:rFonts w:hint="eastAsia" w:eastAsia="仿宋_GB2312"/>
          <w:sz w:val="32"/>
          <w:szCs w:val="32"/>
          <w:lang w:val="en-US" w:eastAsia="zh-CN"/>
        </w:rPr>
        <w:t>1.</w:t>
      </w:r>
      <w:r>
        <w:rPr>
          <w:rFonts w:hint="eastAsia" w:ascii="Times New Roman" w:hAnsi="Times New Roman" w:eastAsia="仿宋_GB2312" w:cs="Times New Roman"/>
          <w:sz w:val="32"/>
          <w:szCs w:val="22"/>
          <w:lang w:val="en-US" w:eastAsia="zh-CN"/>
        </w:rPr>
        <w:t>鸡肉</w:t>
      </w:r>
      <w:r>
        <w:rPr>
          <w:rFonts w:hint="default" w:ascii="Times New Roman" w:hAnsi="Times New Roman" w:eastAsia="仿宋_GB2312" w:cs="Times New Roman"/>
          <w:sz w:val="32"/>
          <w:szCs w:val="22"/>
        </w:rPr>
        <w:t>检验项目：</w:t>
      </w:r>
      <w:r>
        <w:rPr>
          <w:rFonts w:hint="eastAsia" w:ascii="Times New Roman" w:hAnsi="Times New Roman" w:eastAsia="仿宋_GB2312" w:cs="Times New Roman"/>
          <w:sz w:val="32"/>
          <w:szCs w:val="22"/>
        </w:rPr>
        <w:t>挥发性盐基氮、恩诺沙星、氧氟沙星、培氟沙星、诺氟沙星、沙拉沙星、替米考星、呋喃唑酮代谢物、呋喃西林代谢物、呋喃妥因代谢物、呋喃它酮代谢物、磺胺类（总量）、甲氧苄啶、氯霉素、氟苯尼考、五氯酚酸钠（以五氯酚计）、多西环素、土霉素、金霉素、四环素、利巴韦林、甲硝唑、金刚烷胺、金刚乙胺、尼卡巴嗪</w:t>
      </w:r>
      <w:r>
        <w:rPr>
          <w:rFonts w:hint="eastAsia" w:eastAsia="仿宋_GB2312"/>
          <w:sz w:val="32"/>
          <w:szCs w:val="32"/>
          <w:lang w:val="en-US" w:eastAsia="zh-CN"/>
        </w:rPr>
        <w:t>。</w:t>
      </w:r>
    </w:p>
    <w:p>
      <w:pPr>
        <w:numPr>
          <w:ilvl w:val="0"/>
          <w:numId w:val="0"/>
        </w:numPr>
        <w:spacing w:line="540" w:lineRule="exact"/>
        <w:ind w:left="0" w:leftChars="0" w:firstLine="640" w:firstLineChars="200"/>
        <w:rPr>
          <w:rFonts w:hint="eastAsia" w:eastAsia="仿宋_GB2312"/>
          <w:sz w:val="32"/>
          <w:szCs w:val="32"/>
          <w:lang w:eastAsia="zh-CN"/>
        </w:rPr>
      </w:pPr>
      <w:r>
        <w:rPr>
          <w:rFonts w:hint="eastAsia" w:eastAsia="仿宋_GB2312"/>
          <w:sz w:val="32"/>
          <w:szCs w:val="32"/>
          <w:lang w:val="en-US" w:eastAsia="zh-CN"/>
        </w:rPr>
        <w:t>2.</w:t>
      </w:r>
      <w:r>
        <w:rPr>
          <w:rFonts w:hint="eastAsia" w:eastAsia="仿宋_GB2312"/>
          <w:sz w:val="32"/>
          <w:szCs w:val="32"/>
        </w:rPr>
        <w:t>豆芽</w:t>
      </w:r>
      <w:r>
        <w:rPr>
          <w:rFonts w:eastAsia="仿宋_GB2312"/>
          <w:sz w:val="32"/>
          <w:szCs w:val="32"/>
        </w:rPr>
        <w:t>检验项目：</w:t>
      </w:r>
      <w:r>
        <w:rPr>
          <w:rFonts w:hint="eastAsia" w:eastAsia="仿宋_GB2312"/>
          <w:sz w:val="32"/>
          <w:szCs w:val="32"/>
        </w:rPr>
        <w:t>铅（以Pb计）、亚硫酸盐（以SO</w:t>
      </w:r>
      <w:r>
        <w:rPr>
          <w:rFonts w:hint="eastAsia" w:eastAsia="仿宋_GB2312"/>
          <w:sz w:val="32"/>
          <w:szCs w:val="32"/>
          <w:vertAlign w:val="subscript"/>
        </w:rPr>
        <w:t>2</w:t>
      </w:r>
      <w:r>
        <w:rPr>
          <w:rFonts w:hint="eastAsia" w:eastAsia="仿宋_GB2312"/>
          <w:sz w:val="32"/>
          <w:szCs w:val="32"/>
        </w:rPr>
        <w:t>计）、4-氯苯氧乙酸钠（以4-氯苯乙酸计）、6-苄基腺嘌呤（6-BA）</w:t>
      </w:r>
      <w:r>
        <w:rPr>
          <w:rFonts w:hint="eastAsia" w:eastAsia="仿宋_GB2312"/>
          <w:sz w:val="32"/>
          <w:szCs w:val="32"/>
          <w:lang w:eastAsia="zh-CN"/>
        </w:rPr>
        <w:t>。</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altName w:val="Arial Unicode MS"/>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4"/>
          <w:jc w:val="center"/>
        </w:pPr>
        <w:r>
          <w:fldChar w:fldCharType="begin"/>
        </w:r>
        <w:r>
          <w:instrText xml:space="preserve">PAGE   \* MERGEFORMAT</w:instrText>
        </w:r>
        <w:r>
          <w:fldChar w:fldCharType="separate"/>
        </w:r>
        <w:r>
          <w:rPr>
            <w:lang w:val="zh-CN"/>
          </w:rPr>
          <w:t>12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abstractNum w:abstractNumId="1">
    <w:nsid w:val="2E55E568"/>
    <w:multiLevelType w:val="singleLevel"/>
    <w:tmpl w:val="2E55E56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2326F16"/>
    <w:rsid w:val="026343EA"/>
    <w:rsid w:val="029A6C51"/>
    <w:rsid w:val="02FC52CE"/>
    <w:rsid w:val="03501943"/>
    <w:rsid w:val="040F7AF9"/>
    <w:rsid w:val="04112369"/>
    <w:rsid w:val="042E4BD2"/>
    <w:rsid w:val="04634448"/>
    <w:rsid w:val="04F423B2"/>
    <w:rsid w:val="05131106"/>
    <w:rsid w:val="0527065D"/>
    <w:rsid w:val="052A6B1E"/>
    <w:rsid w:val="05534E65"/>
    <w:rsid w:val="05DE3E1B"/>
    <w:rsid w:val="05DE7A9B"/>
    <w:rsid w:val="06111A96"/>
    <w:rsid w:val="06124BE8"/>
    <w:rsid w:val="06773BB4"/>
    <w:rsid w:val="06FE3D93"/>
    <w:rsid w:val="07400984"/>
    <w:rsid w:val="074936EA"/>
    <w:rsid w:val="085253BF"/>
    <w:rsid w:val="087B66DB"/>
    <w:rsid w:val="08A73224"/>
    <w:rsid w:val="09433783"/>
    <w:rsid w:val="095266E7"/>
    <w:rsid w:val="09891CD4"/>
    <w:rsid w:val="098A07BA"/>
    <w:rsid w:val="09F2125D"/>
    <w:rsid w:val="0ADA180E"/>
    <w:rsid w:val="0B1A5FA2"/>
    <w:rsid w:val="0B2C3925"/>
    <w:rsid w:val="0B663C97"/>
    <w:rsid w:val="0B87389B"/>
    <w:rsid w:val="0BB44CE7"/>
    <w:rsid w:val="0BBE074D"/>
    <w:rsid w:val="0BEA5EBF"/>
    <w:rsid w:val="0C0338F7"/>
    <w:rsid w:val="0C285D84"/>
    <w:rsid w:val="0C3261F0"/>
    <w:rsid w:val="0D355934"/>
    <w:rsid w:val="0D431AD9"/>
    <w:rsid w:val="0E2C4389"/>
    <w:rsid w:val="0E2E1D93"/>
    <w:rsid w:val="0ED33774"/>
    <w:rsid w:val="0F051777"/>
    <w:rsid w:val="0FC51AAE"/>
    <w:rsid w:val="10B84118"/>
    <w:rsid w:val="11623CBB"/>
    <w:rsid w:val="1163681B"/>
    <w:rsid w:val="12390AE3"/>
    <w:rsid w:val="125B2583"/>
    <w:rsid w:val="125B3435"/>
    <w:rsid w:val="126838E4"/>
    <w:rsid w:val="12757A9F"/>
    <w:rsid w:val="12C610C9"/>
    <w:rsid w:val="12D1134C"/>
    <w:rsid w:val="13647655"/>
    <w:rsid w:val="13655E78"/>
    <w:rsid w:val="13D47D32"/>
    <w:rsid w:val="14042891"/>
    <w:rsid w:val="144E2181"/>
    <w:rsid w:val="14722F48"/>
    <w:rsid w:val="147C5366"/>
    <w:rsid w:val="14924AAD"/>
    <w:rsid w:val="149A37A7"/>
    <w:rsid w:val="14D3189A"/>
    <w:rsid w:val="15132E69"/>
    <w:rsid w:val="151F7BF0"/>
    <w:rsid w:val="154C4FDD"/>
    <w:rsid w:val="15AA6390"/>
    <w:rsid w:val="160E2234"/>
    <w:rsid w:val="16834126"/>
    <w:rsid w:val="169F79CE"/>
    <w:rsid w:val="17AE33C5"/>
    <w:rsid w:val="189E586F"/>
    <w:rsid w:val="18FD197C"/>
    <w:rsid w:val="194C7FBE"/>
    <w:rsid w:val="19B64248"/>
    <w:rsid w:val="1A063D7B"/>
    <w:rsid w:val="1AB80314"/>
    <w:rsid w:val="1ABB1DB3"/>
    <w:rsid w:val="1AEA7831"/>
    <w:rsid w:val="1AF23659"/>
    <w:rsid w:val="1B033DA9"/>
    <w:rsid w:val="1CC76367"/>
    <w:rsid w:val="1D6C24DF"/>
    <w:rsid w:val="1DB04C16"/>
    <w:rsid w:val="1E825FCF"/>
    <w:rsid w:val="1EEC1E5E"/>
    <w:rsid w:val="1F496012"/>
    <w:rsid w:val="1FBE7E2B"/>
    <w:rsid w:val="205B4F8B"/>
    <w:rsid w:val="209A2FD7"/>
    <w:rsid w:val="212B5BC7"/>
    <w:rsid w:val="21B23697"/>
    <w:rsid w:val="21DD50CB"/>
    <w:rsid w:val="22B66D59"/>
    <w:rsid w:val="233F4471"/>
    <w:rsid w:val="23E8680C"/>
    <w:rsid w:val="24BF414E"/>
    <w:rsid w:val="252A7E76"/>
    <w:rsid w:val="2562118B"/>
    <w:rsid w:val="25BC6B3F"/>
    <w:rsid w:val="26CF26DA"/>
    <w:rsid w:val="27DA5A54"/>
    <w:rsid w:val="28504D0C"/>
    <w:rsid w:val="28B87961"/>
    <w:rsid w:val="28BE1DFC"/>
    <w:rsid w:val="29A0450F"/>
    <w:rsid w:val="2ADE092F"/>
    <w:rsid w:val="2BB71F4E"/>
    <w:rsid w:val="2BBB2060"/>
    <w:rsid w:val="2C7F57B9"/>
    <w:rsid w:val="2CD6372D"/>
    <w:rsid w:val="2E200317"/>
    <w:rsid w:val="2E333DFA"/>
    <w:rsid w:val="2E794648"/>
    <w:rsid w:val="2ED9181D"/>
    <w:rsid w:val="2F237357"/>
    <w:rsid w:val="2F5D6971"/>
    <w:rsid w:val="2FFD1E23"/>
    <w:rsid w:val="30151EF4"/>
    <w:rsid w:val="302C33DF"/>
    <w:rsid w:val="30FA77D3"/>
    <w:rsid w:val="3123569D"/>
    <w:rsid w:val="314D32AA"/>
    <w:rsid w:val="31BE2B35"/>
    <w:rsid w:val="31D55E82"/>
    <w:rsid w:val="31E761D8"/>
    <w:rsid w:val="32A819FE"/>
    <w:rsid w:val="34B07EDF"/>
    <w:rsid w:val="351E4BE6"/>
    <w:rsid w:val="36036235"/>
    <w:rsid w:val="36ED75EE"/>
    <w:rsid w:val="37BE014E"/>
    <w:rsid w:val="37FC1525"/>
    <w:rsid w:val="38426296"/>
    <w:rsid w:val="38E53ED3"/>
    <w:rsid w:val="3A746258"/>
    <w:rsid w:val="3AB3353C"/>
    <w:rsid w:val="3AE0447F"/>
    <w:rsid w:val="3BD357D8"/>
    <w:rsid w:val="3BF242B7"/>
    <w:rsid w:val="3BFA6B6E"/>
    <w:rsid w:val="3C9A5A74"/>
    <w:rsid w:val="3CF5295D"/>
    <w:rsid w:val="3D2F11EF"/>
    <w:rsid w:val="3D606DAB"/>
    <w:rsid w:val="3E6B64D6"/>
    <w:rsid w:val="3EA15580"/>
    <w:rsid w:val="3F397ED7"/>
    <w:rsid w:val="3F593CDE"/>
    <w:rsid w:val="40083C03"/>
    <w:rsid w:val="40E34E53"/>
    <w:rsid w:val="4146507D"/>
    <w:rsid w:val="41503ED0"/>
    <w:rsid w:val="41C15A60"/>
    <w:rsid w:val="41F132A0"/>
    <w:rsid w:val="41FE49C1"/>
    <w:rsid w:val="42D33E6E"/>
    <w:rsid w:val="43404068"/>
    <w:rsid w:val="43575E66"/>
    <w:rsid w:val="436372BB"/>
    <w:rsid w:val="43683A6C"/>
    <w:rsid w:val="43A424FA"/>
    <w:rsid w:val="4441762E"/>
    <w:rsid w:val="44616FA0"/>
    <w:rsid w:val="44C478FB"/>
    <w:rsid w:val="454B5BA1"/>
    <w:rsid w:val="45D231B0"/>
    <w:rsid w:val="45D75980"/>
    <w:rsid w:val="462A4E0F"/>
    <w:rsid w:val="46641763"/>
    <w:rsid w:val="46655F8B"/>
    <w:rsid w:val="46671419"/>
    <w:rsid w:val="469A60E3"/>
    <w:rsid w:val="46C63A85"/>
    <w:rsid w:val="47212EB4"/>
    <w:rsid w:val="47A8756D"/>
    <w:rsid w:val="47B82775"/>
    <w:rsid w:val="48603162"/>
    <w:rsid w:val="48AE035E"/>
    <w:rsid w:val="49D07143"/>
    <w:rsid w:val="4A263172"/>
    <w:rsid w:val="4A291D28"/>
    <w:rsid w:val="4A2F7EDE"/>
    <w:rsid w:val="4A422A4B"/>
    <w:rsid w:val="4A6764DD"/>
    <w:rsid w:val="4B12496F"/>
    <w:rsid w:val="4B2361DC"/>
    <w:rsid w:val="4B6B7154"/>
    <w:rsid w:val="4BB35BE8"/>
    <w:rsid w:val="4BB97E91"/>
    <w:rsid w:val="4C162F6B"/>
    <w:rsid w:val="4C1A3FEB"/>
    <w:rsid w:val="4C4D3164"/>
    <w:rsid w:val="4DD907DA"/>
    <w:rsid w:val="4E7060C5"/>
    <w:rsid w:val="4EE12E8A"/>
    <w:rsid w:val="4F162F4F"/>
    <w:rsid w:val="4FD41D88"/>
    <w:rsid w:val="4FD433D3"/>
    <w:rsid w:val="515B7F9B"/>
    <w:rsid w:val="51B84452"/>
    <w:rsid w:val="539A13BE"/>
    <w:rsid w:val="54CF69F2"/>
    <w:rsid w:val="552B21BD"/>
    <w:rsid w:val="554700D9"/>
    <w:rsid w:val="57455FB6"/>
    <w:rsid w:val="57A65222"/>
    <w:rsid w:val="585B441D"/>
    <w:rsid w:val="58B23DA1"/>
    <w:rsid w:val="58EB093B"/>
    <w:rsid w:val="58F110D3"/>
    <w:rsid w:val="59375128"/>
    <w:rsid w:val="595A1281"/>
    <w:rsid w:val="59D32369"/>
    <w:rsid w:val="5B227991"/>
    <w:rsid w:val="5CC7610D"/>
    <w:rsid w:val="5D09225F"/>
    <w:rsid w:val="5D285D3B"/>
    <w:rsid w:val="5D4911F1"/>
    <w:rsid w:val="5DCA74B5"/>
    <w:rsid w:val="5E336317"/>
    <w:rsid w:val="5E5672D9"/>
    <w:rsid w:val="5EC53032"/>
    <w:rsid w:val="5F05643A"/>
    <w:rsid w:val="5F0F1FF2"/>
    <w:rsid w:val="5F134097"/>
    <w:rsid w:val="5F30142A"/>
    <w:rsid w:val="5F3E4464"/>
    <w:rsid w:val="5FEE5794"/>
    <w:rsid w:val="60204B7E"/>
    <w:rsid w:val="61A9485C"/>
    <w:rsid w:val="620809DC"/>
    <w:rsid w:val="626C39BB"/>
    <w:rsid w:val="62842244"/>
    <w:rsid w:val="62B866F9"/>
    <w:rsid w:val="64083995"/>
    <w:rsid w:val="645A2EA0"/>
    <w:rsid w:val="651D6BF7"/>
    <w:rsid w:val="65243D37"/>
    <w:rsid w:val="661F0284"/>
    <w:rsid w:val="66847DB8"/>
    <w:rsid w:val="66B447AF"/>
    <w:rsid w:val="66BD2619"/>
    <w:rsid w:val="66C6387D"/>
    <w:rsid w:val="67336CBD"/>
    <w:rsid w:val="67D069E4"/>
    <w:rsid w:val="69EA11CE"/>
    <w:rsid w:val="6A0A6F49"/>
    <w:rsid w:val="6A986B82"/>
    <w:rsid w:val="6B0D2401"/>
    <w:rsid w:val="6B375ADC"/>
    <w:rsid w:val="6C745B15"/>
    <w:rsid w:val="6D5377AE"/>
    <w:rsid w:val="6DC42855"/>
    <w:rsid w:val="6F4C2246"/>
    <w:rsid w:val="6F4F5A9E"/>
    <w:rsid w:val="6FB90B8B"/>
    <w:rsid w:val="6FF32183"/>
    <w:rsid w:val="708377AA"/>
    <w:rsid w:val="708910B5"/>
    <w:rsid w:val="71350DE1"/>
    <w:rsid w:val="739E189D"/>
    <w:rsid w:val="73A03C30"/>
    <w:rsid w:val="73F22CB8"/>
    <w:rsid w:val="74000499"/>
    <w:rsid w:val="74063758"/>
    <w:rsid w:val="7441565E"/>
    <w:rsid w:val="763206BD"/>
    <w:rsid w:val="7635337F"/>
    <w:rsid w:val="763B3228"/>
    <w:rsid w:val="768F75FF"/>
    <w:rsid w:val="76AD261E"/>
    <w:rsid w:val="76D0062B"/>
    <w:rsid w:val="778C1010"/>
    <w:rsid w:val="784648CF"/>
    <w:rsid w:val="78540A8F"/>
    <w:rsid w:val="78CD6EE2"/>
    <w:rsid w:val="7AA402FA"/>
    <w:rsid w:val="7ACC77C6"/>
    <w:rsid w:val="7C3B62FF"/>
    <w:rsid w:val="7D3B25AB"/>
    <w:rsid w:val="7D773C48"/>
    <w:rsid w:val="7E072DB4"/>
    <w:rsid w:val="7E4D2BF8"/>
    <w:rsid w:val="7E625BAA"/>
    <w:rsid w:val="7EBA121B"/>
    <w:rsid w:val="7EFC3F37"/>
    <w:rsid w:val="7F480D89"/>
    <w:rsid w:val="7FE54990"/>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34"/>
    <w:pPr>
      <w:ind w:firstLine="420" w:firstLineChars="200"/>
    </w:pPr>
    <w:rPr>
      <w:rFonts w:ascii="Calibri" w:hAnsi="Calibri"/>
      <w:szCs w:val="22"/>
    </w:rPr>
  </w:style>
  <w:style w:type="character" w:customStyle="1" w:styleId="12">
    <w:name w:val="标题 1 Char"/>
    <w:basedOn w:val="8"/>
    <w:link w:val="2"/>
    <w:qFormat/>
    <w:uiPriority w:val="9"/>
    <w:rPr>
      <w:rFonts w:ascii="宋体" w:hAnsi="宋体" w:eastAsia="宋体" w:cs="宋体"/>
      <w:b/>
      <w:bCs/>
      <w:kern w:val="36"/>
      <w:sz w:val="48"/>
      <w:szCs w:val="48"/>
    </w:rPr>
  </w:style>
  <w:style w:type="paragraph" w:customStyle="1" w:styleId="13">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0</TotalTime>
  <ScaleCrop>false</ScaleCrop>
  <LinksUpToDate>false</LinksUpToDate>
  <CharactersWithSpaces>12672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WLH</cp:lastModifiedBy>
  <dcterms:modified xsi:type="dcterms:W3CDTF">2021-02-19T07:46:56Z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