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0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napToGrid w:val="0"/>
        <w:spacing w:line="300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left="0" w:leftChars="0" w:firstLine="633" w:firstLineChars="198"/>
        <w:jc w:val="left"/>
        <w:textAlignment w:val="baseline"/>
        <w:outlineLvl w:val="9"/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  <w:t>一、耗氧量（以O₂计）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633" w:firstLineChars="198"/>
        <w:jc w:val="both"/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>耗氧量指的是每升水在一定条件下被氧化剂氧化时消耗的氧化剂量，折算为氧的毫克数表示还原性物质。水中还原性物质包括无机物和有机物，主要是有机物，因此耗氧量能间接反映水受有机污染的程度，是评价水体受有机物污染总量的一项综合指标。《食品安全国家标准 包装饮用水》（GB19298</w:t>
      </w:r>
      <w:r>
        <w:rPr>
          <w:rFonts w:hint="eastAsia" w:ascii="Times New Roman" w:hAnsi="Times New Roman" w:eastAsia="仿宋_GB2312" w:cs="Times New Roman"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>2014）中规定，包装饮用水中的耗氧量（以O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>计）的最大限量为2.0mg/L。造成包装饮用水中耗氧量（以O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>计）超标的原因，可能是企业生产工艺控制不严格或生产工艺水平较低，无法彻底净化水质；也有可能是水源受到过量有机物的污染。</w:t>
      </w:r>
    </w:p>
    <w:p>
      <w:pPr>
        <w:spacing w:line="594" w:lineRule="exact"/>
        <w:ind w:firstLine="640" w:firstLineChars="200"/>
        <w:textAlignment w:val="baseline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ind w:left="0" w:leftChars="0" w:firstLine="640" w:firstLineChars="200"/>
        <w:outlineLvl w:val="9"/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ascii="黑体" w:hAnsi="宋体" w:eastAsia="黑体" w:cs="黑体"/>
          <w:i w:val="0"/>
          <w:color w:val="000000"/>
          <w:spacing w:val="-12"/>
          <w:sz w:val="32"/>
          <w:szCs w:val="32"/>
          <w:vertAlign w:val="baseline"/>
        </w:rPr>
        <w:t>极性组分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633" w:firstLineChars="198"/>
        <w:jc w:val="both"/>
      </w:pPr>
      <w:r>
        <w:rPr>
          <w:rFonts w:ascii="仿宋_GB2312" w:eastAsia="仿宋_GB2312" w:cs="仿宋_GB2312"/>
          <w:i w:val="0"/>
          <w:color w:val="000000"/>
          <w:spacing w:val="0"/>
          <w:sz w:val="32"/>
          <w:szCs w:val="32"/>
          <w:vertAlign w:val="baseline"/>
        </w:rPr>
        <w:t>极性组分是食用油在煎炸过程中发生裂变，产生比正常植物油分子（甘油三酯）极性较大的一些成分，是甘油三酯的热氧化产物、热聚合产物、热氧化聚合产物、水解产物的总称。根据《食品安全国家标准</w:t>
      </w:r>
      <w:r>
        <w:rPr>
          <w:rFonts w:hint="eastAsia" w:ascii="Times New Roman" w:hAnsi="Times New Roman" w:eastAsia="仿宋_GB2312" w:cs="Times New Roman"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olor w:val="000000"/>
          <w:spacing w:val="0"/>
          <w:sz w:val="32"/>
          <w:szCs w:val="32"/>
          <w:vertAlign w:val="baseline"/>
        </w:rPr>
        <w:t>植物油》（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GB2716-2018</w:t>
      </w:r>
      <w:r>
        <w:rPr>
          <w:rFonts w:hint="eastAsia" w:ascii="仿宋_GB2312" w:eastAsia="仿宋_GB2312" w:cs="仿宋_GB2312"/>
          <w:i w:val="0"/>
          <w:color w:val="000000"/>
          <w:spacing w:val="0"/>
          <w:sz w:val="32"/>
          <w:szCs w:val="32"/>
          <w:vertAlign w:val="baseline"/>
        </w:rPr>
        <w:t>）的规定，食用植物油煎炸过程中的极性组分不得超过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27%</w:t>
      </w:r>
      <w:r>
        <w:rPr>
          <w:rFonts w:hint="eastAsia" w:ascii="仿宋_GB2312" w:eastAsia="仿宋_GB2312" w:cs="仿宋_GB2312"/>
          <w:i w:val="0"/>
          <w:color w:val="000000"/>
          <w:spacing w:val="0"/>
          <w:sz w:val="32"/>
          <w:szCs w:val="32"/>
          <w:vertAlign w:val="baseline"/>
        </w:rPr>
        <w:t>。极性组分不符合标准要求，主要是餐饮加工用油反复使用，次数过多所致。</w:t>
      </w: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ind w:firstLine="640" w:firstLineChars="200"/>
        <w:textAlignment w:val="baseline"/>
        <w:outlineLvl w:val="9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三、4-氯苯氧乙酸钠（以4-氯苯氧乙酸计）和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6-苄基腺嘌呤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6-BA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）</w:t>
      </w:r>
    </w:p>
    <w:p>
      <w:pPr>
        <w:numPr>
          <w:ilvl w:val="0"/>
          <w:numId w:val="0"/>
        </w:numPr>
        <w:ind w:firstLine="640" w:firstLineChars="200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4-氯苯氧乙酸钠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和6-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苄基腺嘌呤属广谱性植物生长调节剂，可促进植物细胞生长，主要用于无根豆芽的生长调节剂。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《国家食品药品监督管理总局 农业部 国家卫生和计划生育委员会关于豆芽生产过程中禁止使用6-苄基腺嘌呤等物质的公告》（2015年 第11号）中规定，生产者不得在豆芽生产过程中使用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4-氯苯氧乙酸钠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和6-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苄基腺嘌呤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等物质，豆芽经营者不得经营含有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4-氯苯氧乙酸钠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6-苄基腺嘌呤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物质的豆芽。豆芽中检出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4-氯苯氧乙酸钠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6-苄基腺嘌呤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的原因，可能是生产者为提高豆芽产量，从而违规使用相关农药。</w:t>
      </w:r>
    </w:p>
    <w:p>
      <w:pPr>
        <w:widowControl/>
        <w:numPr>
          <w:ilvl w:val="0"/>
          <w:numId w:val="0"/>
        </w:numPr>
        <w:spacing w:line="560" w:lineRule="exact"/>
        <w:ind w:leftChars="0" w:firstLine="420" w:firstLineChars="0"/>
        <w:jc w:val="left"/>
        <w:outlineLvl w:val="9"/>
        <w:rPr>
          <w:rFonts w:hint="eastAsia" w:ascii="黑体" w:eastAsia="黑体"/>
          <w:sz w:val="32"/>
          <w:szCs w:val="32"/>
          <w:lang w:bidi="ar"/>
        </w:rPr>
      </w:pPr>
    </w:p>
    <w:p>
      <w:pPr>
        <w:widowControl/>
        <w:numPr>
          <w:ilvl w:val="0"/>
          <w:numId w:val="0"/>
        </w:numPr>
        <w:spacing w:line="560" w:lineRule="exact"/>
        <w:ind w:leftChars="0" w:firstLine="640" w:firstLineChars="200"/>
        <w:jc w:val="left"/>
        <w:outlineLvl w:val="9"/>
        <w:rPr>
          <w:rFonts w:hint="eastAsia" w:ascii="黑体" w:eastAsia="黑体"/>
          <w:sz w:val="32"/>
          <w:szCs w:val="32"/>
          <w:lang w:eastAsia="zh-CN" w:bidi="ar"/>
        </w:rPr>
      </w:pPr>
      <w:r>
        <w:rPr>
          <w:rFonts w:hint="eastAsia" w:ascii="黑体" w:eastAsia="黑体"/>
          <w:sz w:val="32"/>
          <w:szCs w:val="32"/>
          <w:lang w:eastAsia="zh-CN" w:bidi="ar"/>
        </w:rPr>
        <w:t>四、恩诺沙星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leftChars="0" w:right="0" w:firstLine="62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恩诺沙星属于氟喹诺酮类药物，是一类人工合成的广谱抗菌药，用于治疗动物的皮肤感染、呼吸道感染等，是动物专属用药。《食品安全国家标准 食品中兽药最大残留限量》（GB 31650-2019）中规定，恩诺沙星在牛、禽和其他动物的肌肉中的最高残留限量为100 μg/kg。乌鸡中恩诺沙星超标的原因，可能是养殖户在养殖过程中违规使用相关兽药。</w:t>
      </w:r>
    </w:p>
    <w:p>
      <w:pPr>
        <w:numPr>
          <w:ilvl w:val="0"/>
          <w:numId w:val="0"/>
        </w:numPr>
        <w:ind w:firstLine="640" w:firstLineChars="200"/>
        <w:outlineLvl w:val="9"/>
        <w:rPr>
          <w:rFonts w:hint="eastAsia" w:eastAsia="黑体"/>
          <w:sz w:val="32"/>
          <w:szCs w:val="32"/>
        </w:rPr>
      </w:pPr>
    </w:p>
    <w:p>
      <w:pPr>
        <w:numPr>
          <w:ilvl w:val="0"/>
          <w:numId w:val="0"/>
        </w:numPr>
        <w:ind w:left="620" w:leftChars="0"/>
        <w:outlineLvl w:val="9"/>
        <w:rPr>
          <w:rFonts w:hint="eastAsia" w:ascii="黑体" w:eastAsia="黑体"/>
          <w:sz w:val="32"/>
          <w:szCs w:val="32"/>
          <w:lang w:eastAsia="zh-CN" w:bidi="ar"/>
        </w:rPr>
      </w:pPr>
      <w:r>
        <w:rPr>
          <w:rFonts w:hint="eastAsia" w:ascii="黑体" w:eastAsia="黑体"/>
          <w:sz w:val="32"/>
          <w:szCs w:val="32"/>
          <w:lang w:eastAsia="zh-CN" w:bidi="ar"/>
        </w:rPr>
        <w:t>五、甲氧苄啶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leftChars="0" w:right="0" w:firstLine="620" w:firstLineChars="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甲氧苄啶属于二氨基嘧啶类药物，常与磺胺类药物一同使用，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以达到抗菌增效的效果，所以又称为磺胺增效剂。《食品中兽药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最大残留限量》（GB31650-2019）中规定，甲氧苄啶在猪、牛、家禽（产蛋期禁用）中的最大限量为50μg/kg。乌鸡中甲氧苄啶超标的原因，可能是养殖户在养殖过程中违规使用相关兽药。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黑体" w:eastAsia="黑体"/>
          <w:sz w:val="32"/>
          <w:szCs w:val="32"/>
          <w:lang w:eastAsia="zh-CN" w:bidi="ar"/>
        </w:rPr>
      </w:pPr>
      <w:r>
        <w:rPr>
          <w:rFonts w:hint="eastAsia" w:ascii="黑体" w:eastAsia="黑体"/>
          <w:sz w:val="32"/>
          <w:szCs w:val="32"/>
          <w:lang w:eastAsia="zh-CN" w:bidi="ar"/>
        </w:rPr>
        <w:t>六、铜绿假单胞菌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620" w:firstLineChars="0"/>
        <w:jc w:val="both"/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铜绿假单胞菌又名绿脓杆菌，是常见的细菌之一，在自然界分布广泛，各种水、空气、正常人的皮肤、呼吸道和肠道等都有该菌存在。对消毒剂、紫外线等具有较强的抵抗力。《食品安全国家标准 包装饮用水》（GB 19298-2014）中规定，在5件包装饮用水样品中，铜绿假单胞菌的检测结果均不得超过0 CFU/250mL。造成饮用纯净水中铜绿假单胞菌不合格原因可能是：一是原料水体受到感染；二是生产过程中卫生控制不严格，杀菌不彻底；三是包装材料清洗消毒不达标。</w:t>
      </w: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ind w:left="0" w:leftChars="0" w:firstLine="633" w:firstLineChars="198"/>
        <w:jc w:val="left"/>
        <w:textAlignment w:val="baseline"/>
        <w:outlineLvl w:val="9"/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  <w:t>七、总酸</w:t>
      </w: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总酸是食醋的品质指标，反映其特色的重要特征性指标之一。对酿造食醋来说，酸度越高说明发酵程度越高，食醋的酸味也就越浓，质量也就越好。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《酿造食醋》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GB/T 18187-2000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固态发酵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食醋中总酸最小限量值为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g/100mL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总酸含量未达标的原因，可能是生产过程工艺控制不严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，包装不严，偷工减料或制假</w:t>
      </w:r>
      <w:r>
        <w:rPr>
          <w:rFonts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5AC1A43"/>
    <w:rsid w:val="0643453F"/>
    <w:rsid w:val="083119A6"/>
    <w:rsid w:val="08C70051"/>
    <w:rsid w:val="0A4036B4"/>
    <w:rsid w:val="0B23740C"/>
    <w:rsid w:val="0BF55D05"/>
    <w:rsid w:val="0D541D8A"/>
    <w:rsid w:val="0E3E57FB"/>
    <w:rsid w:val="0E6E3364"/>
    <w:rsid w:val="125E1B94"/>
    <w:rsid w:val="126C3CBF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0D8603E"/>
    <w:rsid w:val="217B58C1"/>
    <w:rsid w:val="218C1169"/>
    <w:rsid w:val="22EE5E6A"/>
    <w:rsid w:val="24C105FB"/>
    <w:rsid w:val="25842F5B"/>
    <w:rsid w:val="27706704"/>
    <w:rsid w:val="28926171"/>
    <w:rsid w:val="28FE5380"/>
    <w:rsid w:val="293C4333"/>
    <w:rsid w:val="2A266F86"/>
    <w:rsid w:val="2B453547"/>
    <w:rsid w:val="32DE440F"/>
    <w:rsid w:val="342C28E6"/>
    <w:rsid w:val="361165EF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1E35D3"/>
    <w:rsid w:val="52C32932"/>
    <w:rsid w:val="52D4703A"/>
    <w:rsid w:val="534230F9"/>
    <w:rsid w:val="54D163A0"/>
    <w:rsid w:val="575B13D1"/>
    <w:rsid w:val="57CB2923"/>
    <w:rsid w:val="5C9E489B"/>
    <w:rsid w:val="5E0540D0"/>
    <w:rsid w:val="5F7B3A23"/>
    <w:rsid w:val="60FF6D88"/>
    <w:rsid w:val="61DD6D44"/>
    <w:rsid w:val="66325BC9"/>
    <w:rsid w:val="699D6242"/>
    <w:rsid w:val="6BA279B0"/>
    <w:rsid w:val="6BB87E7B"/>
    <w:rsid w:val="74E00729"/>
    <w:rsid w:val="75057978"/>
    <w:rsid w:val="75202347"/>
    <w:rsid w:val="76D75FC2"/>
    <w:rsid w:val="773E5EB6"/>
    <w:rsid w:val="77887501"/>
    <w:rsid w:val="77E37BF6"/>
    <w:rsid w:val="79516C02"/>
    <w:rsid w:val="7BC16283"/>
    <w:rsid w:val="7C6619F8"/>
    <w:rsid w:val="7DC149D8"/>
    <w:rsid w:val="7FE8335D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2021-02-19T04:13:34Z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