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rPr>
          <w:rFonts w:ascii="Times New Roman" w:hAnsi="Times New Roman" w:eastAsia="黑体"/>
          <w:sz w:val="32"/>
          <w:szCs w:val="32"/>
        </w:rPr>
      </w:pPr>
      <w:r>
        <w:rPr>
          <w:rFonts w:hint="eastAsia" w:ascii="Times New Roman" w:hAnsi="Times New Roman" w:eastAsia="黑体"/>
          <w:sz w:val="32"/>
          <w:szCs w:val="32"/>
        </w:rPr>
        <w:t>附件4</w:t>
      </w:r>
    </w:p>
    <w:p>
      <w:pPr>
        <w:adjustRightInd w:val="0"/>
        <w:snapToGrid w:val="0"/>
        <w:spacing w:line="56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不合格项目说明</w:t>
      </w:r>
    </w:p>
    <w:p>
      <w:pPr>
        <w:adjustRightInd w:val="0"/>
        <w:snapToGrid w:val="0"/>
        <w:spacing w:line="560" w:lineRule="exact"/>
        <w:rPr>
          <w:rFonts w:ascii="Times New Roman" w:hAnsi="Times New Roman" w:eastAsia="方正小标宋简体"/>
          <w:bCs/>
          <w:sz w:val="44"/>
          <w:szCs w:val="44"/>
        </w:rPr>
      </w:pPr>
    </w:p>
    <w:p>
      <w:pPr>
        <w:pStyle w:val="5"/>
        <w:numPr>
          <w:ilvl w:val="0"/>
          <w:numId w:val="1"/>
        </w:numPr>
        <w:adjustRightInd w:val="0"/>
        <w:snapToGrid w:val="0"/>
        <w:spacing w:line="560" w:lineRule="exact"/>
        <w:ind w:left="0" w:firstLine="640" w:firstLineChars="200"/>
        <w:rPr>
          <w:rFonts w:eastAsia="黑体"/>
          <w:color w:val="000000"/>
          <w:sz w:val="32"/>
          <w:szCs w:val="32"/>
        </w:rPr>
      </w:pPr>
      <w:r>
        <w:rPr>
          <w:rFonts w:eastAsia="黑体"/>
          <w:color w:val="000000"/>
          <w:sz w:val="32"/>
          <w:szCs w:val="32"/>
        </w:rPr>
        <w:t>酸价</w:t>
      </w:r>
    </w:p>
    <w:p>
      <w:pPr>
        <w:pStyle w:val="5"/>
        <w:adjustRightInd w:val="0"/>
        <w:snapToGrid w:val="0"/>
        <w:spacing w:line="560" w:lineRule="exact"/>
        <w:ind w:firstLine="640" w:firstLineChars="200"/>
        <w:rPr>
          <w:rFonts w:eastAsia="仿宋"/>
          <w:color w:val="000000"/>
          <w:sz w:val="32"/>
          <w:szCs w:val="32"/>
          <w:shd w:val="clear" w:color="auto" w:fill="FFFFFF"/>
        </w:rPr>
      </w:pPr>
      <w:r>
        <w:rPr>
          <w:rFonts w:eastAsia="仿宋_GB2312"/>
          <w:bCs/>
          <w:sz w:val="32"/>
          <w:szCs w:val="32"/>
        </w:rPr>
        <w:t>酸价是脂肪中游离脂肪酸含量的标志，</w:t>
      </w:r>
      <w:r>
        <w:rPr>
          <w:rFonts w:eastAsia="仿宋_GB2312"/>
          <w:sz w:val="32"/>
          <w:szCs w:val="32"/>
        </w:rPr>
        <w:t>主要反映油脂酸败程度。食品中酸价超标</w:t>
      </w:r>
      <w:r>
        <w:rPr>
          <w:rFonts w:hint="eastAsia" w:eastAsia="仿宋_GB2312"/>
          <w:sz w:val="32"/>
          <w:szCs w:val="32"/>
        </w:rPr>
        <w:t>可能</w:t>
      </w:r>
      <w:r>
        <w:rPr>
          <w:rFonts w:eastAsia="仿宋_GB2312"/>
          <w:sz w:val="32"/>
          <w:szCs w:val="32"/>
        </w:rPr>
        <w:t>产生哈喇味。</w:t>
      </w:r>
      <w:r>
        <w:rPr>
          <w:rFonts w:hint="eastAsia" w:eastAsia="仿宋_GB2312"/>
          <w:bCs/>
          <w:sz w:val="32"/>
          <w:szCs w:val="32"/>
        </w:rPr>
        <w:t>《食品安全国家标准 植物油》</w:t>
      </w:r>
      <w:r>
        <w:rPr>
          <w:rFonts w:eastAsia="仿宋_GB2312"/>
          <w:bCs/>
          <w:sz w:val="32"/>
          <w:szCs w:val="32"/>
        </w:rPr>
        <w:t>（</w:t>
      </w:r>
      <w:r>
        <w:rPr>
          <w:rFonts w:hint="eastAsia" w:eastAsia="仿宋_GB2312"/>
          <w:bCs/>
          <w:sz w:val="32"/>
          <w:szCs w:val="32"/>
        </w:rPr>
        <w:t>GB 2716</w:t>
      </w:r>
      <w:r>
        <w:rPr>
          <w:rFonts w:eastAsia="仿宋_GB2312"/>
          <w:bCs/>
          <w:sz w:val="32"/>
          <w:szCs w:val="32"/>
        </w:rPr>
        <w:t>）规定，</w:t>
      </w:r>
      <w:r>
        <w:rPr>
          <w:rFonts w:hint="eastAsia" w:eastAsia="仿宋_GB2312"/>
          <w:bCs/>
          <w:sz w:val="32"/>
          <w:szCs w:val="32"/>
        </w:rPr>
        <w:t>煎炸过程中的食用植物油</w:t>
      </w:r>
      <w:r>
        <w:rPr>
          <w:rFonts w:eastAsia="仿宋_GB2312"/>
          <w:bCs/>
          <w:sz w:val="32"/>
          <w:szCs w:val="32"/>
        </w:rPr>
        <w:t>中的酸价</w:t>
      </w:r>
      <w:r>
        <w:rPr>
          <w:rFonts w:hint="eastAsia" w:eastAsia="仿宋_GB2312"/>
          <w:bCs/>
          <w:sz w:val="32"/>
          <w:szCs w:val="32"/>
        </w:rPr>
        <w:t>（</w:t>
      </w:r>
      <w:r>
        <w:rPr>
          <w:rFonts w:eastAsia="仿宋_GB2312"/>
          <w:bCs/>
          <w:sz w:val="32"/>
          <w:szCs w:val="32"/>
        </w:rPr>
        <w:t>KOH</w:t>
      </w:r>
      <w:r>
        <w:rPr>
          <w:rFonts w:hint="eastAsia" w:eastAsia="仿宋_GB2312"/>
          <w:bCs/>
          <w:sz w:val="32"/>
          <w:szCs w:val="32"/>
        </w:rPr>
        <w:t>）</w:t>
      </w:r>
      <w:r>
        <w:rPr>
          <w:rFonts w:eastAsia="仿宋_GB2312"/>
          <w:bCs/>
          <w:sz w:val="32"/>
          <w:szCs w:val="32"/>
        </w:rPr>
        <w:t>应不超过5 mg/g。</w:t>
      </w:r>
    </w:p>
    <w:p>
      <w:pPr>
        <w:pStyle w:val="5"/>
        <w:numPr>
          <w:ilvl w:val="0"/>
          <w:numId w:val="1"/>
        </w:numPr>
        <w:adjustRightInd w:val="0"/>
        <w:snapToGrid w:val="0"/>
        <w:spacing w:line="560" w:lineRule="exact"/>
        <w:ind w:left="0" w:firstLine="640" w:firstLineChars="200"/>
        <w:rPr>
          <w:rFonts w:eastAsia="黑体"/>
          <w:sz w:val="32"/>
          <w:szCs w:val="32"/>
        </w:rPr>
      </w:pPr>
      <w:r>
        <w:rPr>
          <w:rFonts w:hint="eastAsia" w:eastAsia="黑体"/>
          <w:sz w:val="32"/>
          <w:szCs w:val="32"/>
        </w:rPr>
        <w:t>毒死蜱</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毒死蜱属于有机磷类农药，主要用于粮食、果树和其他经济作物杀虫。农业部第2032公告规定自2016年12月31日起，毒死蜱禁止在蔬菜中使用。《食品安全国家标准 食品中农药最大残留限量》（GB 2763）规定，芹菜中毒死蜱的最大残留限量为0.05 mg/kg。</w:t>
      </w:r>
    </w:p>
    <w:p>
      <w:pPr>
        <w:pStyle w:val="9"/>
        <w:numPr>
          <w:ilvl w:val="0"/>
          <w:numId w:val="1"/>
        </w:numPr>
        <w:adjustRightInd w:val="0"/>
        <w:snapToGrid w:val="0"/>
        <w:spacing w:line="560" w:lineRule="exact"/>
        <w:ind w:left="0" w:firstLine="640" w:firstLineChars="200"/>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大肠菌群</w:t>
      </w:r>
    </w:p>
    <w:p>
      <w:pPr>
        <w:pStyle w:val="5"/>
        <w:spacing w:line="560" w:lineRule="exact"/>
        <w:ind w:firstLine="640" w:firstLineChars="200"/>
        <w:rPr>
          <w:rFonts w:eastAsia="仿宋_GB2312"/>
          <w:color w:val="000000"/>
          <w:sz w:val="32"/>
          <w:szCs w:val="32"/>
        </w:rPr>
      </w:pPr>
      <w:r>
        <w:rPr>
          <w:rFonts w:eastAsia="仿宋_GB2312"/>
          <w:color w:val="000000"/>
          <w:sz w:val="32"/>
          <w:szCs w:val="32"/>
        </w:rPr>
        <w:t>大肠菌群是国内外通用的食品污染常用指示菌之一。食品</w:t>
      </w:r>
      <w:r>
        <w:rPr>
          <w:rFonts w:hint="eastAsia" w:eastAsia="仿宋_GB2312"/>
          <w:color w:val="000000"/>
          <w:sz w:val="32"/>
          <w:szCs w:val="32"/>
        </w:rPr>
        <w:t>及</w:t>
      </w:r>
      <w:r>
        <w:rPr>
          <w:rFonts w:eastAsia="仿宋_GB2312"/>
          <w:color w:val="000000"/>
          <w:sz w:val="32"/>
          <w:szCs w:val="32"/>
        </w:rPr>
        <w:t>餐饮具中检出大肠菌群，提示被肠道致病菌污染的可能性较大。</w:t>
      </w:r>
      <w:r>
        <w:rPr>
          <w:rFonts w:hint="eastAsia" w:eastAsia="仿宋_GB2312"/>
          <w:color w:val="000000"/>
          <w:sz w:val="32"/>
          <w:szCs w:val="32"/>
        </w:rPr>
        <w:t>《食品安全国家标准 消毒餐（饮）具》（GB 14934）规定消毒餐（饮）具中大肠菌群不得检出。《食品安全国家标准 冷冻饮品和制作料》（GB 2759）对冷冻饮品中的大肠菌群规定同批次5个独立包装产品中大肠菌群检测结果不允许有超过10</w:t>
      </w:r>
      <w:r>
        <w:rPr>
          <w:rFonts w:hint="eastAsia" w:eastAsia="仿宋_GB2312"/>
          <w:color w:val="000000"/>
          <w:sz w:val="32"/>
          <w:szCs w:val="32"/>
          <w:vertAlign w:val="superscript"/>
        </w:rPr>
        <w:t>2</w:t>
      </w:r>
      <w:r>
        <w:rPr>
          <w:rFonts w:hint="eastAsia" w:eastAsia="仿宋_GB2312"/>
          <w:color w:val="000000"/>
          <w:sz w:val="32"/>
          <w:szCs w:val="32"/>
        </w:rPr>
        <w:t xml:space="preserve"> CFU/g的，且至少3个包装产品检测结果不超过10 CFU/g。</w:t>
      </w:r>
    </w:p>
    <w:p>
      <w:pPr>
        <w:pStyle w:val="8"/>
        <w:numPr>
          <w:ilvl w:val="0"/>
          <w:numId w:val="1"/>
        </w:numPr>
        <w:adjustRightInd w:val="0"/>
        <w:snapToGrid w:val="0"/>
        <w:spacing w:line="560" w:lineRule="exact"/>
        <w:ind w:left="0" w:firstLine="640"/>
        <w:rPr>
          <w:rFonts w:ascii="Times New Roman" w:hAnsi="Times New Roman" w:eastAsia="黑体"/>
          <w:bCs/>
          <w:color w:val="000000"/>
          <w:sz w:val="32"/>
          <w:szCs w:val="32"/>
        </w:rPr>
      </w:pPr>
      <w:r>
        <w:rPr>
          <w:rFonts w:hint="eastAsia" w:ascii="Times New Roman" w:hAnsi="Times New Roman" w:eastAsia="黑体"/>
          <w:bCs/>
          <w:color w:val="000000"/>
          <w:sz w:val="32"/>
          <w:szCs w:val="32"/>
        </w:rPr>
        <w:t>克伦特罗</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
          <w:bCs/>
          <w:sz w:val="32"/>
          <w:szCs w:val="32"/>
        </w:rPr>
        <w:t>克伦特罗属于β</w:t>
      </w:r>
      <w:r>
        <w:rPr>
          <w:rFonts w:ascii="Times New Roman" w:hAnsi="Times New Roman" w:eastAsia="仿宋_GB2312" w:cs="仿宋"/>
          <w:bCs/>
          <w:sz w:val="32"/>
          <w:szCs w:val="32"/>
        </w:rPr>
        <w:t>-</w:t>
      </w:r>
      <w:r>
        <w:rPr>
          <w:rFonts w:hint="eastAsia" w:ascii="Times New Roman" w:hAnsi="Times New Roman" w:eastAsia="仿宋_GB2312" w:cs="仿宋"/>
          <w:bCs/>
          <w:sz w:val="32"/>
          <w:szCs w:val="32"/>
        </w:rPr>
        <w:t>受体激动剂类药物，能提高胴体的瘦肉率。人食用含有“瘦肉精”的动物性食品，</w:t>
      </w:r>
      <w:r>
        <w:rPr>
          <w:rFonts w:hint="eastAsia" w:ascii="Times New Roman" w:hAnsi="Times New Roman" w:eastAsia="仿宋_GB2312"/>
          <w:sz w:val="32"/>
          <w:szCs w:val="32"/>
        </w:rPr>
        <w:t>可能会引起中毒，出现心悸、头晕、乏力等症状，对人体健康造成伤害。</w:t>
      </w:r>
      <w:r>
        <w:rPr>
          <w:rFonts w:hint="eastAsia" w:ascii="Times New Roman" w:hAnsi="Times New Roman" w:eastAsia="仿宋_GB2312" w:cs="仿宋"/>
          <w:bCs/>
          <w:sz w:val="32"/>
          <w:szCs w:val="32"/>
        </w:rPr>
        <w:t>全国食品安全整顿工作办公室印发的《食品中可能违法添加的非食用物质和易滥用的食品添加剂名单（第四批）》（整顿办函</w:t>
      </w:r>
      <w:r>
        <w:rPr>
          <w:rFonts w:ascii="Times New Roman" w:hAnsi="Times New Roman" w:eastAsia="仿宋_GB2312" w:cs="仿宋"/>
          <w:bCs/>
          <w:sz w:val="32"/>
          <w:szCs w:val="32"/>
        </w:rPr>
        <w:t>[2010]50</w:t>
      </w:r>
      <w:r>
        <w:rPr>
          <w:rFonts w:hint="eastAsia" w:ascii="Times New Roman" w:hAnsi="Times New Roman" w:eastAsia="仿宋_GB2312" w:cs="仿宋"/>
          <w:bCs/>
          <w:sz w:val="32"/>
          <w:szCs w:val="32"/>
        </w:rPr>
        <w:t>号）将克伦特罗列为非食用物质。</w:t>
      </w:r>
      <w:r>
        <w:rPr>
          <w:rFonts w:hint="eastAsia" w:ascii="Times New Roman" w:hAnsi="Times New Roman" w:eastAsia="仿宋_GB2312" w:cs="Times New Roman"/>
          <w:color w:val="000000"/>
          <w:sz w:val="32"/>
          <w:szCs w:val="32"/>
        </w:rPr>
        <w:t>《食品动物中禁止使用的药品及其他化合物清单》</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农业农村部公告第</w:t>
      </w:r>
      <w:r>
        <w:rPr>
          <w:rFonts w:ascii="Times New Roman" w:hAnsi="Times New Roman" w:eastAsia="仿宋_GB2312" w:cs="Times New Roman"/>
          <w:color w:val="000000"/>
          <w:sz w:val="32"/>
          <w:szCs w:val="32"/>
        </w:rPr>
        <w:t>250</w:t>
      </w:r>
      <w:r>
        <w:rPr>
          <w:rFonts w:hint="eastAsia" w:ascii="Times New Roman" w:hAnsi="Times New Roman" w:eastAsia="仿宋_GB2312" w:cs="Times New Roman"/>
          <w:color w:val="000000"/>
          <w:sz w:val="32"/>
          <w:szCs w:val="32"/>
        </w:rPr>
        <w:t>号）中规定，食品动物中禁止使用β</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兴奋剂类及其盐、酯。</w:t>
      </w:r>
    </w:p>
    <w:p>
      <w:pPr>
        <w:pStyle w:val="5"/>
        <w:numPr>
          <w:ilvl w:val="0"/>
          <w:numId w:val="1"/>
        </w:numPr>
        <w:adjustRightInd w:val="0"/>
        <w:snapToGrid w:val="0"/>
        <w:spacing w:line="560" w:lineRule="exact"/>
        <w:ind w:left="0" w:firstLine="640" w:firstLineChars="200"/>
        <w:rPr>
          <w:rFonts w:eastAsia="黑体"/>
          <w:color w:val="000000"/>
          <w:sz w:val="32"/>
          <w:szCs w:val="32"/>
        </w:rPr>
      </w:pPr>
      <w:r>
        <w:rPr>
          <w:rFonts w:hint="eastAsia" w:eastAsia="黑体"/>
          <w:color w:val="000000"/>
          <w:sz w:val="32"/>
          <w:szCs w:val="32"/>
        </w:rPr>
        <w:t>镉</w:t>
      </w:r>
    </w:p>
    <w:p>
      <w:pPr>
        <w:pStyle w:val="5"/>
        <w:adjustRightInd w:val="0"/>
        <w:snapToGrid w:val="0"/>
        <w:spacing w:line="560" w:lineRule="exact"/>
        <w:ind w:firstLine="640" w:firstLineChars="200"/>
        <w:rPr>
          <w:rFonts w:eastAsia="仿宋_GB2312" w:cs="仿宋"/>
          <w:sz w:val="32"/>
          <w:szCs w:val="32"/>
        </w:rPr>
      </w:pPr>
      <w:r>
        <w:rPr>
          <w:rFonts w:hint="eastAsia" w:eastAsia="仿宋_GB2312" w:cs="仿宋"/>
          <w:sz w:val="32"/>
          <w:szCs w:val="32"/>
        </w:rPr>
        <w:t>镉属于重金属污染物指标，联合国环境规划署（DNFP）和国际职业卫生重金属委员会将镉列入重点研究的环境污染物，世界卫生组织（WHO）则将其作为优先研究的食品污染物。《食品安全国家标准 食品中污染物限量》（GB 2762）规定，鲜、冻水产动物甲壳类中镉的限量值为0.5 mg/kg。</w:t>
      </w:r>
    </w:p>
    <w:p>
      <w:pPr>
        <w:pStyle w:val="5"/>
        <w:numPr>
          <w:ilvl w:val="0"/>
          <w:numId w:val="1"/>
        </w:numPr>
        <w:adjustRightInd w:val="0"/>
        <w:snapToGrid w:val="0"/>
        <w:spacing w:line="560" w:lineRule="exact"/>
        <w:ind w:left="0" w:firstLine="640" w:firstLineChars="200"/>
        <w:rPr>
          <w:rFonts w:eastAsia="黑体"/>
          <w:color w:val="000000"/>
          <w:sz w:val="32"/>
          <w:szCs w:val="32"/>
        </w:rPr>
      </w:pPr>
      <w:r>
        <w:rPr>
          <w:rFonts w:hint="eastAsia" w:eastAsia="黑体"/>
          <w:color w:val="000000"/>
          <w:sz w:val="32"/>
          <w:szCs w:val="32"/>
        </w:rPr>
        <w:t>铅</w:t>
      </w:r>
    </w:p>
    <w:p>
      <w:pPr>
        <w:widowControl/>
        <w:shd w:val="clear" w:color="auto" w:fill="FFFFFF"/>
        <w:adjustRightInd w:val="0"/>
        <w:snapToGrid w:val="0"/>
        <w:spacing w:line="594"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Times New Roman"/>
          <w:color w:val="000000"/>
          <w:sz w:val="32"/>
          <w:szCs w:val="32"/>
        </w:rPr>
        <w:t>铅属于重金属污染物指标。</w:t>
      </w:r>
      <w:r>
        <w:rPr>
          <w:rFonts w:hint="eastAsia" w:ascii="Times New Roman" w:hAnsi="Times New Roman" w:eastAsia="仿宋_GB2312" w:cs="仿宋"/>
          <w:color w:val="000000"/>
          <w:sz w:val="32"/>
          <w:szCs w:val="32"/>
        </w:rPr>
        <w:t>《食品安全国家标准 食品中污染物限量》（GB 2762）规定，</w:t>
      </w:r>
      <w:r>
        <w:rPr>
          <w:rFonts w:ascii="Times New Roman" w:hAnsi="Times New Roman" w:eastAsia="仿宋_GB2312" w:cs="仿宋"/>
          <w:color w:val="000000"/>
          <w:sz w:val="32"/>
          <w:szCs w:val="32"/>
        </w:rPr>
        <w:t>限量指标对制品有要求的情况下</w:t>
      </w:r>
      <w:r>
        <w:rPr>
          <w:rFonts w:hint="eastAsia" w:ascii="Times New Roman" w:hAnsi="Times New Roman" w:eastAsia="仿宋_GB2312" w:cs="仿宋"/>
          <w:color w:val="000000"/>
          <w:sz w:val="32"/>
          <w:szCs w:val="32"/>
        </w:rPr>
        <w:t>，</w:t>
      </w:r>
      <w:r>
        <w:rPr>
          <w:rFonts w:ascii="Times New Roman" w:hAnsi="Times New Roman" w:eastAsia="仿宋_GB2312" w:cs="仿宋"/>
          <w:color w:val="000000"/>
          <w:sz w:val="32"/>
          <w:szCs w:val="32"/>
        </w:rPr>
        <w:t>其中干制品中污染物限量以相应新鲜食品中污染物限量结合其脱水率或浓缩率折算</w:t>
      </w:r>
      <w:r>
        <w:rPr>
          <w:rFonts w:hint="eastAsia" w:ascii="Times New Roman" w:hAnsi="Times New Roman" w:eastAsia="仿宋_GB2312" w:cs="仿宋"/>
          <w:color w:val="000000"/>
          <w:sz w:val="32"/>
          <w:szCs w:val="32"/>
        </w:rPr>
        <w:t>。经折算优选春笋干尖样品铅（</w:t>
      </w:r>
      <w:r>
        <w:rPr>
          <w:rFonts w:ascii="Times New Roman" w:hAnsi="Times New Roman" w:eastAsia="仿宋_GB2312" w:cs="仿宋"/>
          <w:color w:val="000000"/>
          <w:sz w:val="32"/>
          <w:szCs w:val="32"/>
        </w:rPr>
        <w:t>以Pb计</w:t>
      </w:r>
      <w:r>
        <w:rPr>
          <w:rFonts w:hint="eastAsia" w:ascii="Times New Roman" w:hAnsi="Times New Roman" w:eastAsia="仿宋_GB2312" w:cs="仿宋"/>
          <w:color w:val="000000"/>
          <w:sz w:val="32"/>
          <w:szCs w:val="32"/>
        </w:rPr>
        <w:t>）的</w:t>
      </w:r>
      <w:r>
        <w:rPr>
          <w:rFonts w:ascii="Times New Roman" w:hAnsi="Times New Roman" w:eastAsia="仿宋_GB2312" w:cs="仿宋"/>
          <w:color w:val="000000"/>
          <w:sz w:val="32"/>
          <w:szCs w:val="32"/>
        </w:rPr>
        <w:t>限量为1.0</w:t>
      </w:r>
      <w:r>
        <w:rPr>
          <w:rFonts w:hint="eastAsia" w:ascii="Times New Roman" w:hAnsi="Times New Roman" w:eastAsia="仿宋_GB2312" w:cs="仿宋"/>
          <w:color w:val="000000"/>
          <w:sz w:val="32"/>
          <w:szCs w:val="32"/>
        </w:rPr>
        <w:t xml:space="preserve"> mg/kg。企业标准《干制笋》(Q/PXMR0002S-2017) 规定产品中铅（以Pb计）的限量值为0.5</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rPr>
        <w:t>mg/kg</w:t>
      </w:r>
      <w:r>
        <w:rPr>
          <w:rFonts w:hint="eastAsia" w:ascii="仿宋_GB2312" w:hAnsi="仿宋" w:eastAsia="仿宋_GB2312" w:cs="仿宋"/>
          <w:color w:val="000000"/>
          <w:sz w:val="32"/>
          <w:szCs w:val="32"/>
        </w:rPr>
        <w:t>。</w:t>
      </w:r>
    </w:p>
    <w:p>
      <w:pPr>
        <w:pStyle w:val="5"/>
        <w:numPr>
          <w:ilvl w:val="0"/>
          <w:numId w:val="1"/>
        </w:numPr>
        <w:adjustRightInd w:val="0"/>
        <w:snapToGrid w:val="0"/>
        <w:spacing w:line="560" w:lineRule="exact"/>
        <w:ind w:left="0" w:firstLine="640" w:firstLineChars="200"/>
        <w:rPr>
          <w:rFonts w:eastAsia="黑体"/>
          <w:sz w:val="32"/>
          <w:szCs w:val="32"/>
        </w:rPr>
      </w:pPr>
      <w:r>
        <w:rPr>
          <w:rFonts w:hint="eastAsia" w:eastAsia="黑体"/>
          <w:sz w:val="32"/>
          <w:szCs w:val="32"/>
        </w:rPr>
        <w:t>氯氟氰菊酯和高效氯氟氰菊酯</w:t>
      </w:r>
    </w:p>
    <w:p>
      <w:pPr>
        <w:pStyle w:val="5"/>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氯氟氰菊酯和高效氯氟氰菊酯属拟除虫菊酯类农药，适用防治棉花、花生、大豆、果树、蔬菜、烟草上多种害虫、害螨，也可用于防治多种地表和公共卫生害虫。《食品安全国家标准 食品中农药最大残留限量》（</w:t>
      </w:r>
      <w:r>
        <w:rPr>
          <w:rFonts w:eastAsia="仿宋_GB2312"/>
          <w:color w:val="000000"/>
          <w:sz w:val="32"/>
          <w:szCs w:val="32"/>
        </w:rPr>
        <w:t>GB 2763</w:t>
      </w:r>
      <w:r>
        <w:rPr>
          <w:rFonts w:hint="eastAsia" w:ascii="仿宋_GB2312" w:hAnsi="仿宋" w:eastAsia="仿宋_GB2312" w:cs="仿宋"/>
          <w:color w:val="000000"/>
          <w:sz w:val="32"/>
          <w:szCs w:val="32"/>
        </w:rPr>
        <w:t>）规定，韭菜中氯氟氰菊酯和高效氯氟氰菊酯的最大残留限量为0.</w:t>
      </w:r>
      <w:r>
        <w:rPr>
          <w:rFonts w:ascii="仿宋_GB2312" w:hAnsi="仿宋" w:eastAsia="仿宋_GB2312" w:cs="仿宋"/>
          <w:color w:val="000000"/>
          <w:sz w:val="32"/>
          <w:szCs w:val="32"/>
        </w:rPr>
        <w:t>5</w:t>
      </w:r>
      <w:r>
        <w:rPr>
          <w:rFonts w:hint="eastAsia" w:ascii="仿宋_GB2312" w:hAnsi="仿宋" w:eastAsia="仿宋_GB2312" w:cs="仿宋"/>
          <w:color w:val="000000"/>
          <w:sz w:val="32"/>
          <w:szCs w:val="32"/>
        </w:rPr>
        <w:t xml:space="preserve"> mg/kg</w:t>
      </w:r>
      <w:bookmarkStart w:id="0" w:name="OLE_LINK2"/>
      <w:r>
        <w:rPr>
          <w:rFonts w:hint="eastAsia" w:ascii="仿宋_GB2312" w:hAnsi="仿宋" w:eastAsia="仿宋_GB2312" w:cs="仿宋"/>
          <w:color w:val="000000"/>
          <w:sz w:val="32"/>
          <w:szCs w:val="32"/>
        </w:rPr>
        <w:t>。</w:t>
      </w:r>
      <w:bookmarkEnd w:id="0"/>
    </w:p>
    <w:p>
      <w:pPr>
        <w:pStyle w:val="8"/>
        <w:numPr>
          <w:ilvl w:val="0"/>
          <w:numId w:val="1"/>
        </w:numPr>
        <w:spacing w:line="560" w:lineRule="exact"/>
        <w:ind w:left="0" w:firstLine="640"/>
        <w:rPr>
          <w:rFonts w:ascii="Times New Roman" w:hAnsi="Times New Roman" w:eastAsia="黑体"/>
          <w:bCs/>
          <w:sz w:val="32"/>
          <w:szCs w:val="32"/>
        </w:rPr>
      </w:pPr>
      <w:r>
        <w:rPr>
          <w:rFonts w:hint="eastAsia" w:ascii="Times New Roman" w:hAnsi="Times New Roman" w:eastAsia="黑体"/>
          <w:bCs/>
          <w:sz w:val="32"/>
          <w:szCs w:val="32"/>
        </w:rPr>
        <w:t>霉菌和酵母</w:t>
      </w:r>
    </w:p>
    <w:p>
      <w:pPr>
        <w:pStyle w:val="5"/>
        <w:spacing w:line="560" w:lineRule="exact"/>
        <w:ind w:firstLine="640" w:firstLineChars="200"/>
        <w:rPr>
          <w:rFonts w:eastAsia="仿宋_GB2312" w:cs="仿宋"/>
          <w:color w:val="000000"/>
          <w:sz w:val="32"/>
          <w:szCs w:val="32"/>
        </w:rPr>
      </w:pPr>
      <w:r>
        <w:rPr>
          <w:rFonts w:hint="eastAsia" w:eastAsia="仿宋_GB2312" w:cs="仿宋"/>
          <w:color w:val="000000"/>
          <w:sz w:val="32"/>
          <w:szCs w:val="32"/>
        </w:rPr>
        <w:t>霉菌和酵母是自然界中常见的真菌，可使食品腐败变质，破坏食品的色、香、味，降低食品的食用价值。《食品安全国家标准 食用淀粉》（GB 31637）规定，</w:t>
      </w:r>
      <w:r>
        <w:rPr>
          <w:rFonts w:hint="eastAsia" w:eastAsia="仿宋_GB2312"/>
          <w:sz w:val="32"/>
          <w:szCs w:val="32"/>
        </w:rPr>
        <w:t>食用淀粉中</w:t>
      </w:r>
      <w:r>
        <w:rPr>
          <w:rFonts w:hint="eastAsia" w:eastAsia="仿宋_GB2312" w:cs="仿宋"/>
          <w:color w:val="000000"/>
          <w:sz w:val="32"/>
          <w:szCs w:val="32"/>
        </w:rPr>
        <w:t>霉菌和酵母应</w:t>
      </w:r>
      <w:r>
        <w:rPr>
          <w:rFonts w:hint="eastAsia" w:eastAsia="仿宋_GB2312"/>
          <w:bCs/>
          <w:sz w:val="32"/>
          <w:szCs w:val="32"/>
        </w:rPr>
        <w:t>不超过</w:t>
      </w:r>
      <w:r>
        <w:rPr>
          <w:rFonts w:hint="eastAsia" w:eastAsia="仿宋_GB2312" w:cs="仿宋"/>
          <w:color w:val="000000"/>
          <w:sz w:val="32"/>
          <w:szCs w:val="32"/>
        </w:rPr>
        <w:t>10</w:t>
      </w:r>
      <w:r>
        <w:rPr>
          <w:rFonts w:hint="eastAsia" w:eastAsia="仿宋_GB2312" w:cs="仿宋"/>
          <w:color w:val="000000"/>
          <w:sz w:val="32"/>
          <w:szCs w:val="32"/>
          <w:vertAlign w:val="superscript"/>
        </w:rPr>
        <w:t>3</w:t>
      </w:r>
      <w:r>
        <w:rPr>
          <w:rFonts w:hint="eastAsia" w:eastAsia="仿宋_GB2312" w:cs="仿宋"/>
          <w:color w:val="000000"/>
          <w:sz w:val="32"/>
          <w:szCs w:val="32"/>
        </w:rPr>
        <w:t xml:space="preserve"> CFU/g。</w:t>
      </w:r>
    </w:p>
    <w:p>
      <w:pPr>
        <w:pStyle w:val="8"/>
        <w:numPr>
          <w:ilvl w:val="0"/>
          <w:numId w:val="1"/>
        </w:numPr>
        <w:spacing w:line="560" w:lineRule="exact"/>
        <w:ind w:left="0" w:firstLine="640"/>
        <w:rPr>
          <w:rFonts w:ascii="黑体" w:hAnsi="黑体" w:eastAsia="黑体" w:cs="Times New Roman"/>
          <w:sz w:val="32"/>
          <w:szCs w:val="32"/>
        </w:rPr>
      </w:pPr>
      <w:r>
        <w:rPr>
          <w:rFonts w:hint="eastAsia" w:ascii="黑体" w:hAnsi="黑体" w:eastAsia="黑体"/>
          <w:sz w:val="32"/>
          <w:szCs w:val="32"/>
        </w:rPr>
        <w:t>酒精度</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酒精度又叫酒度，是指在</w:t>
      </w:r>
      <w:r>
        <w:rPr>
          <w:rFonts w:ascii="Times New Roman" w:hAnsi="Times New Roman" w:eastAsia="仿宋_GB2312"/>
          <w:sz w:val="32"/>
          <w:szCs w:val="32"/>
        </w:rPr>
        <w:t>20</w:t>
      </w:r>
      <w:r>
        <w:rPr>
          <w:rFonts w:hint="eastAsia" w:ascii="Times New Roman" w:hAnsi="Times New Roman" w:eastAsia="仿宋_GB2312" w:cs="宋体"/>
          <w:sz w:val="32"/>
          <w:szCs w:val="32"/>
        </w:rPr>
        <w:t>℃</w:t>
      </w:r>
      <w:r>
        <w:rPr>
          <w:rFonts w:hint="eastAsia" w:ascii="Times New Roman" w:hAnsi="Times New Roman" w:eastAsia="仿宋_GB2312"/>
          <w:sz w:val="32"/>
          <w:szCs w:val="32"/>
        </w:rPr>
        <w:t>时，</w:t>
      </w:r>
      <w:r>
        <w:rPr>
          <w:rFonts w:ascii="Times New Roman" w:hAnsi="Times New Roman" w:eastAsia="仿宋_GB2312"/>
          <w:sz w:val="32"/>
          <w:szCs w:val="32"/>
        </w:rPr>
        <w:t>100</w:t>
      </w:r>
      <w:r>
        <w:rPr>
          <w:rFonts w:hint="eastAsia" w:ascii="Times New Roman" w:hAnsi="Times New Roman" w:eastAsia="仿宋_GB2312"/>
          <w:sz w:val="32"/>
          <w:szCs w:val="32"/>
        </w:rPr>
        <w:t>毫升酒中含有乙醇（酒精）的毫升数，即体积（容量）的百分数。酒精度是酒类产品的一个重要理化指标，含量不达标主要影响产品的品质。《扳倒井酒》（Q/BDJ 0002S-2019）中规定酒精度允许误差为±1.0%vol。</w:t>
      </w:r>
    </w:p>
    <w:p>
      <w:pPr>
        <w:pStyle w:val="8"/>
        <w:numPr>
          <w:ilvl w:val="0"/>
          <w:numId w:val="1"/>
        </w:numPr>
        <w:spacing w:line="560" w:lineRule="exact"/>
        <w:ind w:left="0" w:firstLine="640"/>
        <w:rPr>
          <w:rFonts w:ascii="黑体" w:hAnsi="黑体" w:eastAsia="黑体"/>
          <w:sz w:val="32"/>
          <w:szCs w:val="32"/>
        </w:rPr>
      </w:pPr>
      <w:r>
        <w:rPr>
          <w:rFonts w:hint="eastAsia" w:ascii="黑体" w:hAnsi="黑体" w:eastAsia="黑体"/>
          <w:sz w:val="32"/>
          <w:szCs w:val="32"/>
        </w:rPr>
        <w:t>阴离子合成洗涤剂</w:t>
      </w:r>
    </w:p>
    <w:p>
      <w:pPr>
        <w:adjustRightInd w:val="0"/>
        <w:snapToGrid w:val="0"/>
        <w:spacing w:line="560" w:lineRule="exact"/>
        <w:ind w:firstLine="640" w:firstLineChars="200"/>
        <w:rPr>
          <w:rFonts w:ascii="Times New Roman" w:hAnsi="Times New Roman" w:eastAsia="方正小标宋简体"/>
          <w:bCs/>
          <w:sz w:val="44"/>
          <w:szCs w:val="44"/>
        </w:rPr>
      </w:pPr>
      <w:r>
        <w:rPr>
          <w:rFonts w:hint="eastAsia" w:ascii="Times New Roman" w:hAnsi="Times New Roman" w:eastAsia="仿宋_GB2312" w:cs="Arial"/>
          <w:color w:val="191919"/>
          <w:sz w:val="32"/>
          <w:szCs w:val="32"/>
          <w:shd w:val="clear" w:color="auto" w:fill="FFFFFF"/>
        </w:rPr>
        <w:t>阴离子合成洗涤剂，主要成分十二烷基磺酸钠，是一种低毒物质，因其使用方便、易溶解、稳定性好、成本低等优点，在消毒产品中广泛使用，但是如果餐具清洗消毒流程控制不当，会造成洗涤剂在餐具上的残留，长期接触可能对人体健康产生影响。《食品安全国家标准消毒餐（饮）具》（GB 14934）规定，采用化学消毒法的餐（饮）具的阴离子合成洗涤剂应不得检出。</w:t>
      </w:r>
    </w:p>
    <w:p>
      <w:pPr>
        <w:pStyle w:val="8"/>
        <w:numPr>
          <w:ilvl w:val="0"/>
          <w:numId w:val="1"/>
        </w:numPr>
        <w:adjustRightInd w:val="0"/>
        <w:snapToGrid w:val="0"/>
        <w:spacing w:line="560" w:lineRule="exact"/>
        <w:ind w:left="0" w:firstLine="640"/>
        <w:rPr>
          <w:rFonts w:ascii="Times New Roman" w:hAnsi="Times New Roman" w:eastAsia="黑体"/>
          <w:color w:val="000000"/>
          <w:sz w:val="32"/>
          <w:szCs w:val="32"/>
        </w:rPr>
      </w:pPr>
      <w:r>
        <w:rPr>
          <w:rFonts w:hint="eastAsia" w:ascii="Times New Roman" w:hAnsi="Times New Roman" w:eastAsia="黑体"/>
          <w:color w:val="000000"/>
          <w:sz w:val="32"/>
          <w:szCs w:val="32"/>
        </w:rPr>
        <w:t>恩诺沙星</w:t>
      </w:r>
    </w:p>
    <w:p>
      <w:pPr>
        <w:autoSpaceDE w:val="0"/>
        <w:autoSpaceDN w:val="0"/>
        <w:adjustRightIn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color w:val="000000"/>
          <w:sz w:val="32"/>
          <w:szCs w:val="32"/>
        </w:rPr>
        <w:t>恩诺沙星，又名恩氟奎林羧酸，属于氟喹诺酮类药物，是一种化学合成的广谱抑菌剂，用于治疗动物的皮肤感染、呼吸道感染等，是动物专属用药。</w:t>
      </w:r>
      <w:r>
        <w:rPr>
          <w:rFonts w:hint="eastAsia" w:ascii="Times New Roman" w:hAnsi="Times New Roman" w:eastAsia="仿宋_GB2312"/>
          <w:sz w:val="32"/>
          <w:szCs w:val="32"/>
        </w:rPr>
        <w:t>《食品安全国家标准 食品中兽药最大残留限量》（</w:t>
      </w:r>
      <w:r>
        <w:rPr>
          <w:rFonts w:ascii="Times New Roman" w:hAnsi="Times New Roman" w:eastAsia="仿宋_GB2312" w:cs="Times New Roman"/>
          <w:sz w:val="32"/>
          <w:szCs w:val="32"/>
        </w:rPr>
        <w:t>GB 31650</w:t>
      </w:r>
      <w:r>
        <w:rPr>
          <w:rFonts w:hint="eastAsia" w:ascii="Times New Roman" w:hAnsi="Times New Roman" w:eastAsia="仿宋_GB2312"/>
          <w:sz w:val="32"/>
          <w:szCs w:val="32"/>
        </w:rPr>
        <w:t>）规定，鱼中恩诺沙星(以恩诺沙星与环丙沙星之和计)应不超过100μg/kg。</w:t>
      </w:r>
    </w:p>
    <w:p>
      <w:pPr>
        <w:pStyle w:val="5"/>
        <w:numPr>
          <w:ilvl w:val="0"/>
          <w:numId w:val="1"/>
        </w:numPr>
        <w:adjustRightInd w:val="0"/>
        <w:snapToGrid w:val="0"/>
        <w:spacing w:line="560" w:lineRule="exact"/>
        <w:ind w:left="0" w:firstLine="640" w:firstLineChars="200"/>
        <w:rPr>
          <w:rFonts w:eastAsia="黑体" w:cs="仿宋"/>
          <w:color w:val="000000"/>
          <w:sz w:val="32"/>
          <w:szCs w:val="32"/>
        </w:rPr>
      </w:pPr>
      <w:r>
        <w:rPr>
          <w:rFonts w:hint="eastAsia" w:eastAsia="黑体" w:cs="仿宋"/>
          <w:sz w:val="32"/>
          <w:szCs w:val="32"/>
        </w:rPr>
        <w:t>氟虫腈</w:t>
      </w:r>
    </w:p>
    <w:p>
      <w:pPr>
        <w:adjustRightInd w:val="0"/>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氟虫腈是一种苯基吡唑类杀虫剂，对害虫以胃毒作用为主，兼有触杀和一定的内吸作用。农业部第1157号公告规定，自2009年10月1日起，禁止在所有农作物上使用氟虫腈（玉米等部分旱田种子包衣除外）。《食品安全国家标准 食品中农药最大残留限量》（GB 2763）规定，叶菜类蔬菜中氟虫腈的最大残留限量为0.02</w:t>
      </w:r>
      <w:r>
        <w:rPr>
          <w:rFonts w:ascii="Times New Roman" w:hAnsi="Times New Roman" w:eastAsia="仿宋_GB2312" w:cs="仿宋"/>
          <w:sz w:val="32"/>
          <w:szCs w:val="32"/>
        </w:rPr>
        <w:t xml:space="preserve"> </w:t>
      </w:r>
      <w:r>
        <w:rPr>
          <w:rFonts w:hint="eastAsia" w:ascii="Times New Roman" w:hAnsi="Times New Roman" w:eastAsia="仿宋_GB2312" w:cs="仿宋"/>
          <w:sz w:val="32"/>
          <w:szCs w:val="32"/>
        </w:rPr>
        <w:t>mg/kg。</w:t>
      </w:r>
    </w:p>
    <w:p>
      <w:pPr>
        <w:pStyle w:val="8"/>
        <w:numPr>
          <w:ilvl w:val="0"/>
          <w:numId w:val="1"/>
        </w:numPr>
        <w:adjustRightInd w:val="0"/>
        <w:snapToGrid w:val="0"/>
        <w:spacing w:line="560" w:lineRule="exact"/>
        <w:ind w:left="0" w:firstLine="640"/>
        <w:textAlignment w:val="baseline"/>
        <w:rPr>
          <w:rFonts w:ascii="Times New Roman" w:hAnsi="Times New Roman" w:eastAsia="黑体" w:cs="Times New Roman"/>
          <w:bCs/>
          <w:sz w:val="32"/>
          <w:szCs w:val="32"/>
        </w:rPr>
      </w:pPr>
      <w:r>
        <w:rPr>
          <w:rFonts w:ascii="Times New Roman" w:hAnsi="Times New Roman" w:eastAsia="黑体" w:cs="Times New Roman"/>
          <w:bCs/>
          <w:sz w:val="32"/>
          <w:szCs w:val="32"/>
        </w:rPr>
        <w:t>磺胺类(总量)</w:t>
      </w:r>
    </w:p>
    <w:p>
      <w:pPr>
        <w:adjustRightInd w:val="0"/>
        <w:snapToGrid w:val="0"/>
        <w:spacing w:line="560" w:lineRule="exact"/>
        <w:ind w:firstLine="640" w:firstLineChars="200"/>
        <w:textAlignment w:val="baseline"/>
        <w:rPr>
          <w:rFonts w:ascii="Times New Roman" w:hAnsi="Times New Roman" w:eastAsia="仿宋_GB2312" w:cs="Times New Roman"/>
          <w:bCs/>
          <w:sz w:val="32"/>
          <w:szCs w:val="32"/>
        </w:rPr>
      </w:pPr>
      <w:r>
        <w:rPr>
          <w:rFonts w:ascii="Times New Roman" w:hAnsi="Times New Roman" w:eastAsia="仿宋_GB2312" w:cs="Times New Roman"/>
          <w:bCs/>
          <w:sz w:val="32"/>
          <w:szCs w:val="32"/>
        </w:rPr>
        <w:t>磺胺类药物是合成的抑菌类兽药，除了治疗敏感菌所致传染病外，通常情况下还用于治疗传染性脑膜炎、痢疾、弓形体病。《食品安全国家标准 食品中兽药最大残留限量》（GB 31650）规定，</w:t>
      </w:r>
      <w:r>
        <w:rPr>
          <w:rFonts w:hint="eastAsia" w:ascii="Times New Roman" w:hAnsi="Times New Roman" w:eastAsia="仿宋_GB2312" w:cs="Times New Roman"/>
          <w:bCs/>
          <w:sz w:val="32"/>
          <w:szCs w:val="32"/>
        </w:rPr>
        <w:t>所有食品动物肌肉及脂肪</w:t>
      </w:r>
      <w:r>
        <w:rPr>
          <w:rFonts w:ascii="Times New Roman" w:hAnsi="Times New Roman" w:eastAsia="仿宋_GB2312" w:cs="Times New Roman"/>
          <w:bCs/>
          <w:sz w:val="32"/>
          <w:szCs w:val="32"/>
        </w:rPr>
        <w:t>中磺胺类（总量）应不超过100 μg/kg。</w:t>
      </w:r>
    </w:p>
    <w:p>
      <w:pPr>
        <w:pStyle w:val="5"/>
        <w:numPr>
          <w:ilvl w:val="0"/>
          <w:numId w:val="1"/>
        </w:numPr>
        <w:adjustRightInd w:val="0"/>
        <w:snapToGrid w:val="0"/>
        <w:spacing w:line="560" w:lineRule="exact"/>
        <w:ind w:left="0" w:firstLine="640" w:firstLineChars="200"/>
        <w:rPr>
          <w:rFonts w:eastAsia="黑体"/>
          <w:color w:val="000000"/>
          <w:sz w:val="32"/>
          <w:szCs w:val="32"/>
        </w:rPr>
      </w:pPr>
      <w:r>
        <w:rPr>
          <w:rFonts w:hint="eastAsia" w:eastAsia="黑体"/>
          <w:color w:val="000000"/>
          <w:sz w:val="32"/>
          <w:szCs w:val="32"/>
        </w:rPr>
        <w:t>腐霉利</w:t>
      </w:r>
    </w:p>
    <w:p>
      <w:pPr>
        <w:pStyle w:val="5"/>
        <w:adjustRightInd w:val="0"/>
        <w:snapToGrid w:val="0"/>
        <w:spacing w:line="560" w:lineRule="exact"/>
        <w:ind w:firstLine="640" w:firstLineChars="200"/>
        <w:rPr>
          <w:rFonts w:eastAsia="仿宋_GB2312"/>
          <w:bCs/>
          <w:color w:val="000000"/>
          <w:sz w:val="32"/>
          <w:szCs w:val="32"/>
        </w:rPr>
      </w:pPr>
      <w:r>
        <w:rPr>
          <w:rFonts w:hint="eastAsia" w:eastAsia="仿宋_GB2312" w:cs="仿宋"/>
          <w:color w:val="000000"/>
          <w:sz w:val="32"/>
          <w:szCs w:val="32"/>
        </w:rPr>
        <w:t>腐霉利属于低毒性杀菌剂，</w:t>
      </w:r>
      <w:r>
        <w:rPr>
          <w:rFonts w:hint="eastAsia" w:eastAsia="仿宋_GB2312"/>
          <w:color w:val="000000"/>
          <w:sz w:val="32"/>
          <w:szCs w:val="32"/>
        </w:rPr>
        <w:t>主要用于果树、蔬菜作物的灰霉病、菌核病、褐腐病防治。</w:t>
      </w:r>
      <w:r>
        <w:rPr>
          <w:rFonts w:hint="eastAsia" w:eastAsia="仿宋_GB2312"/>
          <w:bCs/>
          <w:color w:val="000000"/>
          <w:sz w:val="32"/>
          <w:szCs w:val="32"/>
        </w:rPr>
        <w:t>《食品安全国家标准 食品中农药最大残留限量》（GB 2763）规定，韭菜中腐霉利的最大残留限量为0.2 mg/kg。</w:t>
      </w:r>
    </w:p>
    <w:p>
      <w:pPr>
        <w:pStyle w:val="9"/>
        <w:numPr>
          <w:ilvl w:val="0"/>
          <w:numId w:val="1"/>
        </w:numPr>
        <w:adjustRightInd w:val="0"/>
        <w:snapToGrid w:val="0"/>
        <w:spacing w:line="560" w:lineRule="exact"/>
        <w:ind w:left="0" w:firstLine="640" w:firstLineChars="200"/>
        <w:jc w:val="left"/>
        <w:rPr>
          <w:rFonts w:ascii="Times New Roman" w:hAnsi="Times New Roman" w:eastAsia="黑体" w:cs="仿宋"/>
          <w:color w:val="000000"/>
          <w:sz w:val="32"/>
          <w:szCs w:val="32"/>
        </w:rPr>
      </w:pPr>
      <w:r>
        <w:rPr>
          <w:rFonts w:hint="eastAsia" w:ascii="Times New Roman" w:hAnsi="Times New Roman" w:eastAsia="黑体" w:cs="仿宋"/>
          <w:color w:val="000000"/>
          <w:sz w:val="32"/>
          <w:szCs w:val="32"/>
        </w:rPr>
        <w:t>五氯酚酸钠</w:t>
      </w:r>
    </w:p>
    <w:p>
      <w:pPr>
        <w:adjustRightInd w:val="0"/>
        <w:snapToGrid w:val="0"/>
        <w:spacing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olor w:val="000000"/>
          <w:sz w:val="32"/>
          <w:szCs w:val="32"/>
        </w:rPr>
        <w:t>五氯酚</w:t>
      </w:r>
      <w:r>
        <w:rPr>
          <w:rFonts w:ascii="Times New Roman" w:hAnsi="Times New Roman" w:eastAsia="仿宋_GB2312" w:cs="Times New Roman"/>
          <w:color w:val="000000"/>
          <w:sz w:val="32"/>
          <w:szCs w:val="32"/>
        </w:rPr>
        <w:t>酸钠属于有机氯农药，</w:t>
      </w:r>
      <w:r>
        <w:rPr>
          <w:rFonts w:hint="eastAsia" w:ascii="Times New Roman" w:hAnsi="Times New Roman" w:eastAsia="仿宋_GB2312" w:cs="Times New Roman"/>
          <w:color w:val="000000"/>
          <w:sz w:val="32"/>
          <w:szCs w:val="32"/>
        </w:rPr>
        <w:t>可用作除草剂和杀菌剂，易溶于水，容易进入水和土壤中，经环境累积，进入饲料用植物中，通过食物链进入动物内。《食品动物中禁止使用的药品及其他化合物清单》</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农业农村部公告第250号</w:t>
      </w:r>
      <w:r>
        <w:rPr>
          <w:rFonts w:ascii="Times New Roman" w:hAnsi="Times New Roman" w:eastAsia="仿宋_GB2312" w:cs="Times New Roman"/>
          <w:color w:val="000000"/>
          <w:sz w:val="32"/>
          <w:szCs w:val="32"/>
        </w:rPr>
        <w:t>）中规定，</w:t>
      </w:r>
      <w:r>
        <w:rPr>
          <w:rFonts w:hint="eastAsia" w:ascii="Times New Roman" w:hAnsi="Times New Roman" w:eastAsia="仿宋_GB2312" w:cs="Times New Roman"/>
          <w:color w:val="000000"/>
          <w:sz w:val="32"/>
          <w:szCs w:val="32"/>
        </w:rPr>
        <w:t>食品动物中禁止使用</w:t>
      </w:r>
      <w:r>
        <w:rPr>
          <w:rFonts w:ascii="Times New Roman" w:hAnsi="Times New Roman" w:eastAsia="仿宋_GB2312" w:cs="Times New Roman"/>
          <w:color w:val="000000"/>
          <w:sz w:val="32"/>
          <w:szCs w:val="32"/>
        </w:rPr>
        <w:t>五氯酚酸钠。</w:t>
      </w:r>
    </w:p>
    <w:p>
      <w:pPr>
        <w:pStyle w:val="5"/>
        <w:numPr>
          <w:ilvl w:val="0"/>
          <w:numId w:val="1"/>
        </w:numPr>
        <w:spacing w:line="560" w:lineRule="exact"/>
        <w:ind w:left="0" w:firstLine="640" w:firstLineChars="200"/>
        <w:rPr>
          <w:rFonts w:ascii="黑体" w:hAnsi="黑体" w:eastAsia="黑体"/>
          <w:color w:val="000000"/>
          <w:sz w:val="32"/>
          <w:szCs w:val="32"/>
        </w:rPr>
      </w:pPr>
      <w:r>
        <w:rPr>
          <w:rFonts w:hint="eastAsia" w:ascii="黑体" w:hAnsi="黑体" w:eastAsia="黑体"/>
          <w:color w:val="000000"/>
          <w:sz w:val="32"/>
          <w:szCs w:val="32"/>
        </w:rPr>
        <w:t>铜绿假单胞菌</w:t>
      </w:r>
    </w:p>
    <w:p>
      <w:pPr>
        <w:pStyle w:val="5"/>
        <w:spacing w:line="560" w:lineRule="exact"/>
        <w:ind w:firstLine="640" w:firstLineChars="200"/>
        <w:rPr>
          <w:rFonts w:eastAsia="仿宋_GB2312"/>
          <w:bCs/>
          <w:sz w:val="32"/>
          <w:szCs w:val="32"/>
        </w:rPr>
      </w:pPr>
      <w:r>
        <w:rPr>
          <w:rFonts w:hint="eastAsia" w:eastAsia="仿宋_GB2312"/>
          <w:color w:val="000000"/>
          <w:sz w:val="32"/>
          <w:szCs w:val="32"/>
        </w:rPr>
        <w:t>铜绿假单胞菌是一种条件致病菌，广泛分布于各种水、空气、正常人的皮肤、呼吸道和肠道等</w:t>
      </w:r>
      <w:bookmarkStart w:id="2" w:name="_GoBack"/>
      <w:bookmarkEnd w:id="2"/>
      <w:r>
        <w:rPr>
          <w:rFonts w:hint="eastAsia" w:eastAsia="仿宋_GB2312"/>
          <w:color w:val="000000"/>
          <w:sz w:val="32"/>
          <w:szCs w:val="32"/>
        </w:rPr>
        <w:t>，易在潮湿的环境存活，对消毒剂、紫外线等具有较强的抵抗力，对于抵抗力较弱的人群存在健康风险。</w:t>
      </w:r>
      <w:bookmarkStart w:id="1" w:name="OLE_LINK1"/>
      <w:r>
        <w:rPr>
          <w:rFonts w:hint="eastAsia" w:eastAsia="仿宋_GB2312"/>
          <w:color w:val="000000"/>
          <w:sz w:val="32"/>
          <w:szCs w:val="32"/>
        </w:rPr>
        <w:t>《食品安全国家标准 包装饮用水》（GB 19298）</w:t>
      </w:r>
      <w:bookmarkEnd w:id="1"/>
      <w:r>
        <w:rPr>
          <w:rFonts w:hint="eastAsia" w:eastAsia="仿宋_GB2312"/>
          <w:color w:val="000000"/>
          <w:sz w:val="32"/>
          <w:szCs w:val="32"/>
        </w:rPr>
        <w:t>规定，同批次5个独立包装的饮用水中铜绿假单胞菌均不得检出。</w:t>
      </w:r>
    </w:p>
    <w:p>
      <w:pPr>
        <w:pStyle w:val="5"/>
        <w:adjustRightInd w:val="0"/>
        <w:snapToGrid w:val="0"/>
        <w:spacing w:line="560" w:lineRule="exact"/>
        <w:rPr>
          <w:rFonts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34261085">
    <w:nsid w:val="79405C5D"/>
    <w:multiLevelType w:val="multilevel"/>
    <w:tmpl w:val="79405C5D"/>
    <w:lvl w:ilvl="0" w:tentative="1">
      <w:start w:val="1"/>
      <w:numFmt w:val="chineseCountingThousand"/>
      <w:suff w:val="nothing"/>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0342610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VPl/yvSfCCwO8b83OrPZEEinxoc=" w:salt="i83BhdroOnYwzFkuKyM64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1375B"/>
    <w:rsid w:val="00000556"/>
    <w:rsid w:val="00007960"/>
    <w:rsid w:val="000124B8"/>
    <w:rsid w:val="000232AB"/>
    <w:rsid w:val="000273D3"/>
    <w:rsid w:val="00027F40"/>
    <w:rsid w:val="00041F52"/>
    <w:rsid w:val="00044B73"/>
    <w:rsid w:val="00060A49"/>
    <w:rsid w:val="0006564C"/>
    <w:rsid w:val="00070113"/>
    <w:rsid w:val="00073965"/>
    <w:rsid w:val="00077E1C"/>
    <w:rsid w:val="00080E18"/>
    <w:rsid w:val="00097A7B"/>
    <w:rsid w:val="000B2B78"/>
    <w:rsid w:val="000D7EF0"/>
    <w:rsid w:val="000E1F3A"/>
    <w:rsid w:val="000E5A7A"/>
    <w:rsid w:val="00105FC6"/>
    <w:rsid w:val="00116FB7"/>
    <w:rsid w:val="0012192F"/>
    <w:rsid w:val="00126C46"/>
    <w:rsid w:val="00135232"/>
    <w:rsid w:val="0014162B"/>
    <w:rsid w:val="0014636E"/>
    <w:rsid w:val="00150969"/>
    <w:rsid w:val="001549DC"/>
    <w:rsid w:val="00154F7E"/>
    <w:rsid w:val="001553FE"/>
    <w:rsid w:val="001563C0"/>
    <w:rsid w:val="00156A6A"/>
    <w:rsid w:val="001575C1"/>
    <w:rsid w:val="0017062A"/>
    <w:rsid w:val="00171761"/>
    <w:rsid w:val="001817F1"/>
    <w:rsid w:val="00181A9A"/>
    <w:rsid w:val="00190D0D"/>
    <w:rsid w:val="00193AC7"/>
    <w:rsid w:val="00194008"/>
    <w:rsid w:val="001949CE"/>
    <w:rsid w:val="00195B79"/>
    <w:rsid w:val="001A2FE6"/>
    <w:rsid w:val="001A7792"/>
    <w:rsid w:val="001B3B46"/>
    <w:rsid w:val="001B7D47"/>
    <w:rsid w:val="001C47E3"/>
    <w:rsid w:val="001C503B"/>
    <w:rsid w:val="001E403A"/>
    <w:rsid w:val="001E4C33"/>
    <w:rsid w:val="001E6FB8"/>
    <w:rsid w:val="001F45CF"/>
    <w:rsid w:val="00213D96"/>
    <w:rsid w:val="00226A84"/>
    <w:rsid w:val="0024276D"/>
    <w:rsid w:val="00271DF9"/>
    <w:rsid w:val="00281DFF"/>
    <w:rsid w:val="00291085"/>
    <w:rsid w:val="002914B6"/>
    <w:rsid w:val="00293D17"/>
    <w:rsid w:val="002B6033"/>
    <w:rsid w:val="002C29BF"/>
    <w:rsid w:val="002C4015"/>
    <w:rsid w:val="002C6988"/>
    <w:rsid w:val="002D18AD"/>
    <w:rsid w:val="002D406D"/>
    <w:rsid w:val="002E1D5D"/>
    <w:rsid w:val="002F06B6"/>
    <w:rsid w:val="002F0CC3"/>
    <w:rsid w:val="002F11C4"/>
    <w:rsid w:val="002F70B8"/>
    <w:rsid w:val="003013F3"/>
    <w:rsid w:val="00305463"/>
    <w:rsid w:val="003343D3"/>
    <w:rsid w:val="003350FF"/>
    <w:rsid w:val="00344313"/>
    <w:rsid w:val="003552B8"/>
    <w:rsid w:val="00357549"/>
    <w:rsid w:val="00372099"/>
    <w:rsid w:val="003A59ED"/>
    <w:rsid w:val="003A6290"/>
    <w:rsid w:val="003B008E"/>
    <w:rsid w:val="003D3777"/>
    <w:rsid w:val="003D5354"/>
    <w:rsid w:val="003D7B00"/>
    <w:rsid w:val="003E29AD"/>
    <w:rsid w:val="003E5B35"/>
    <w:rsid w:val="003F0C78"/>
    <w:rsid w:val="003F54AC"/>
    <w:rsid w:val="00401B9E"/>
    <w:rsid w:val="00404081"/>
    <w:rsid w:val="0041375B"/>
    <w:rsid w:val="00413936"/>
    <w:rsid w:val="0041638A"/>
    <w:rsid w:val="0042091D"/>
    <w:rsid w:val="00423B74"/>
    <w:rsid w:val="00423DEA"/>
    <w:rsid w:val="0043185F"/>
    <w:rsid w:val="00432F27"/>
    <w:rsid w:val="0044385F"/>
    <w:rsid w:val="00443E6B"/>
    <w:rsid w:val="00445C02"/>
    <w:rsid w:val="00461642"/>
    <w:rsid w:val="00464D1C"/>
    <w:rsid w:val="00476807"/>
    <w:rsid w:val="00482271"/>
    <w:rsid w:val="004A3844"/>
    <w:rsid w:val="004A3AEB"/>
    <w:rsid w:val="004A5696"/>
    <w:rsid w:val="004A7D21"/>
    <w:rsid w:val="004B2838"/>
    <w:rsid w:val="004D1F0F"/>
    <w:rsid w:val="004D3F9B"/>
    <w:rsid w:val="004E6681"/>
    <w:rsid w:val="004E7B71"/>
    <w:rsid w:val="004F1A70"/>
    <w:rsid w:val="004F244A"/>
    <w:rsid w:val="004F67DE"/>
    <w:rsid w:val="005103CB"/>
    <w:rsid w:val="005121F9"/>
    <w:rsid w:val="00532A67"/>
    <w:rsid w:val="0054280C"/>
    <w:rsid w:val="0054794C"/>
    <w:rsid w:val="00551081"/>
    <w:rsid w:val="00557F67"/>
    <w:rsid w:val="00561925"/>
    <w:rsid w:val="00576150"/>
    <w:rsid w:val="00576538"/>
    <w:rsid w:val="00581F67"/>
    <w:rsid w:val="00582C92"/>
    <w:rsid w:val="00591EC1"/>
    <w:rsid w:val="00593E4A"/>
    <w:rsid w:val="005A3A38"/>
    <w:rsid w:val="005A72FC"/>
    <w:rsid w:val="005B1F2F"/>
    <w:rsid w:val="005B48AE"/>
    <w:rsid w:val="005B4946"/>
    <w:rsid w:val="005C0188"/>
    <w:rsid w:val="005E59CA"/>
    <w:rsid w:val="00605651"/>
    <w:rsid w:val="006118C6"/>
    <w:rsid w:val="00632C22"/>
    <w:rsid w:val="00634087"/>
    <w:rsid w:val="00647F51"/>
    <w:rsid w:val="00656433"/>
    <w:rsid w:val="0066369E"/>
    <w:rsid w:val="00665A7B"/>
    <w:rsid w:val="00665F7C"/>
    <w:rsid w:val="00681FEA"/>
    <w:rsid w:val="00684C46"/>
    <w:rsid w:val="006854F2"/>
    <w:rsid w:val="006B2017"/>
    <w:rsid w:val="006B6528"/>
    <w:rsid w:val="006C1844"/>
    <w:rsid w:val="006D10A4"/>
    <w:rsid w:val="006D7405"/>
    <w:rsid w:val="006E2949"/>
    <w:rsid w:val="006E33D5"/>
    <w:rsid w:val="006E76D4"/>
    <w:rsid w:val="006E77CD"/>
    <w:rsid w:val="006F3CA5"/>
    <w:rsid w:val="00704C4C"/>
    <w:rsid w:val="00704E7E"/>
    <w:rsid w:val="007064CB"/>
    <w:rsid w:val="007074F8"/>
    <w:rsid w:val="00707C7B"/>
    <w:rsid w:val="0072006A"/>
    <w:rsid w:val="00721C67"/>
    <w:rsid w:val="0072540D"/>
    <w:rsid w:val="00725D84"/>
    <w:rsid w:val="00737862"/>
    <w:rsid w:val="007405AF"/>
    <w:rsid w:val="00742608"/>
    <w:rsid w:val="00744B5C"/>
    <w:rsid w:val="007678E1"/>
    <w:rsid w:val="007771B0"/>
    <w:rsid w:val="00780AFB"/>
    <w:rsid w:val="00781D95"/>
    <w:rsid w:val="00781DC4"/>
    <w:rsid w:val="00782096"/>
    <w:rsid w:val="007A2AA4"/>
    <w:rsid w:val="007B14E7"/>
    <w:rsid w:val="007B4BC5"/>
    <w:rsid w:val="007C4D17"/>
    <w:rsid w:val="007E518B"/>
    <w:rsid w:val="007F342E"/>
    <w:rsid w:val="007F6521"/>
    <w:rsid w:val="00800671"/>
    <w:rsid w:val="0080385B"/>
    <w:rsid w:val="008060E3"/>
    <w:rsid w:val="008101E8"/>
    <w:rsid w:val="008249C0"/>
    <w:rsid w:val="00842D60"/>
    <w:rsid w:val="008452F9"/>
    <w:rsid w:val="008472C2"/>
    <w:rsid w:val="00852FBB"/>
    <w:rsid w:val="00857791"/>
    <w:rsid w:val="00857C39"/>
    <w:rsid w:val="00863EF8"/>
    <w:rsid w:val="00870871"/>
    <w:rsid w:val="0088298F"/>
    <w:rsid w:val="00884B03"/>
    <w:rsid w:val="008869A6"/>
    <w:rsid w:val="00887940"/>
    <w:rsid w:val="008A2085"/>
    <w:rsid w:val="008A510D"/>
    <w:rsid w:val="008B1118"/>
    <w:rsid w:val="008D2415"/>
    <w:rsid w:val="008D2B24"/>
    <w:rsid w:val="008E330A"/>
    <w:rsid w:val="008F7FDF"/>
    <w:rsid w:val="00901CB2"/>
    <w:rsid w:val="00905019"/>
    <w:rsid w:val="00907486"/>
    <w:rsid w:val="00907789"/>
    <w:rsid w:val="00914028"/>
    <w:rsid w:val="00917AD6"/>
    <w:rsid w:val="00920F8F"/>
    <w:rsid w:val="00921023"/>
    <w:rsid w:val="00927304"/>
    <w:rsid w:val="00934E4C"/>
    <w:rsid w:val="00937786"/>
    <w:rsid w:val="00940313"/>
    <w:rsid w:val="00941319"/>
    <w:rsid w:val="00945078"/>
    <w:rsid w:val="00945250"/>
    <w:rsid w:val="00971768"/>
    <w:rsid w:val="00971D21"/>
    <w:rsid w:val="00976786"/>
    <w:rsid w:val="0098067D"/>
    <w:rsid w:val="009843E5"/>
    <w:rsid w:val="00985D0D"/>
    <w:rsid w:val="00986AE1"/>
    <w:rsid w:val="009961DD"/>
    <w:rsid w:val="009A237D"/>
    <w:rsid w:val="009A2D71"/>
    <w:rsid w:val="009B46D1"/>
    <w:rsid w:val="009D5BAA"/>
    <w:rsid w:val="009F6DC5"/>
    <w:rsid w:val="00A04015"/>
    <w:rsid w:val="00A07D12"/>
    <w:rsid w:val="00A10F5B"/>
    <w:rsid w:val="00A12255"/>
    <w:rsid w:val="00A1509A"/>
    <w:rsid w:val="00A24642"/>
    <w:rsid w:val="00A31C9C"/>
    <w:rsid w:val="00A34908"/>
    <w:rsid w:val="00A35505"/>
    <w:rsid w:val="00A526A3"/>
    <w:rsid w:val="00A65383"/>
    <w:rsid w:val="00A70905"/>
    <w:rsid w:val="00A74AF7"/>
    <w:rsid w:val="00A9533E"/>
    <w:rsid w:val="00A97B1F"/>
    <w:rsid w:val="00AA2973"/>
    <w:rsid w:val="00AA7B16"/>
    <w:rsid w:val="00AB360F"/>
    <w:rsid w:val="00AB3A11"/>
    <w:rsid w:val="00AB4B83"/>
    <w:rsid w:val="00AB7426"/>
    <w:rsid w:val="00AD0426"/>
    <w:rsid w:val="00AD4512"/>
    <w:rsid w:val="00AD46E5"/>
    <w:rsid w:val="00AD5CD9"/>
    <w:rsid w:val="00AD74FF"/>
    <w:rsid w:val="00AE08E2"/>
    <w:rsid w:val="00AE0D19"/>
    <w:rsid w:val="00AE14B2"/>
    <w:rsid w:val="00AE67E5"/>
    <w:rsid w:val="00AF253F"/>
    <w:rsid w:val="00AF3FC1"/>
    <w:rsid w:val="00AF73F7"/>
    <w:rsid w:val="00B12BDA"/>
    <w:rsid w:val="00B221D7"/>
    <w:rsid w:val="00B322D3"/>
    <w:rsid w:val="00B3726A"/>
    <w:rsid w:val="00B41298"/>
    <w:rsid w:val="00B42652"/>
    <w:rsid w:val="00B42E27"/>
    <w:rsid w:val="00B45B14"/>
    <w:rsid w:val="00B47C7F"/>
    <w:rsid w:val="00B5194D"/>
    <w:rsid w:val="00B54CFB"/>
    <w:rsid w:val="00B55BCC"/>
    <w:rsid w:val="00B56C94"/>
    <w:rsid w:val="00B667FD"/>
    <w:rsid w:val="00B76396"/>
    <w:rsid w:val="00B86294"/>
    <w:rsid w:val="00B93358"/>
    <w:rsid w:val="00B94902"/>
    <w:rsid w:val="00B97163"/>
    <w:rsid w:val="00BA1766"/>
    <w:rsid w:val="00BB30A8"/>
    <w:rsid w:val="00BC2D0C"/>
    <w:rsid w:val="00BC5FCF"/>
    <w:rsid w:val="00BC6168"/>
    <w:rsid w:val="00BE5EEC"/>
    <w:rsid w:val="00C02A64"/>
    <w:rsid w:val="00C25757"/>
    <w:rsid w:val="00C27CD0"/>
    <w:rsid w:val="00C705BF"/>
    <w:rsid w:val="00C752C4"/>
    <w:rsid w:val="00C83F4A"/>
    <w:rsid w:val="00C944FD"/>
    <w:rsid w:val="00CA2C4F"/>
    <w:rsid w:val="00CA4538"/>
    <w:rsid w:val="00CC7CC6"/>
    <w:rsid w:val="00CD048B"/>
    <w:rsid w:val="00CF11E8"/>
    <w:rsid w:val="00D16179"/>
    <w:rsid w:val="00D21D50"/>
    <w:rsid w:val="00D262CC"/>
    <w:rsid w:val="00D33FE0"/>
    <w:rsid w:val="00D361B2"/>
    <w:rsid w:val="00D463B6"/>
    <w:rsid w:val="00D80E1C"/>
    <w:rsid w:val="00D8406B"/>
    <w:rsid w:val="00D860B4"/>
    <w:rsid w:val="00D86801"/>
    <w:rsid w:val="00DA28FE"/>
    <w:rsid w:val="00DA7798"/>
    <w:rsid w:val="00DB1958"/>
    <w:rsid w:val="00DB2A23"/>
    <w:rsid w:val="00DC607C"/>
    <w:rsid w:val="00DD1B01"/>
    <w:rsid w:val="00DE5BD5"/>
    <w:rsid w:val="00DF6B8E"/>
    <w:rsid w:val="00E00278"/>
    <w:rsid w:val="00E12E1F"/>
    <w:rsid w:val="00E15D64"/>
    <w:rsid w:val="00E16D44"/>
    <w:rsid w:val="00E226D8"/>
    <w:rsid w:val="00E30E0C"/>
    <w:rsid w:val="00E32BBA"/>
    <w:rsid w:val="00E53455"/>
    <w:rsid w:val="00E554FB"/>
    <w:rsid w:val="00E618F7"/>
    <w:rsid w:val="00E66BCB"/>
    <w:rsid w:val="00E76B2C"/>
    <w:rsid w:val="00E777C5"/>
    <w:rsid w:val="00E92BBD"/>
    <w:rsid w:val="00E94EC5"/>
    <w:rsid w:val="00E95728"/>
    <w:rsid w:val="00E96BEB"/>
    <w:rsid w:val="00EB7684"/>
    <w:rsid w:val="00EC20AF"/>
    <w:rsid w:val="00ED06B5"/>
    <w:rsid w:val="00ED68BC"/>
    <w:rsid w:val="00ED7A87"/>
    <w:rsid w:val="00ED7D29"/>
    <w:rsid w:val="00EE4E8F"/>
    <w:rsid w:val="00EF150E"/>
    <w:rsid w:val="00EF5489"/>
    <w:rsid w:val="00EF6B8E"/>
    <w:rsid w:val="00F05768"/>
    <w:rsid w:val="00F1550F"/>
    <w:rsid w:val="00F21FDE"/>
    <w:rsid w:val="00F26674"/>
    <w:rsid w:val="00F30D8B"/>
    <w:rsid w:val="00F3388E"/>
    <w:rsid w:val="00F404E9"/>
    <w:rsid w:val="00F41E45"/>
    <w:rsid w:val="00F42374"/>
    <w:rsid w:val="00F47CC2"/>
    <w:rsid w:val="00F47D45"/>
    <w:rsid w:val="00F506A2"/>
    <w:rsid w:val="00F54A53"/>
    <w:rsid w:val="00F642F4"/>
    <w:rsid w:val="00F82C19"/>
    <w:rsid w:val="00F90804"/>
    <w:rsid w:val="00F94A60"/>
    <w:rsid w:val="00F96208"/>
    <w:rsid w:val="00F9686D"/>
    <w:rsid w:val="00FA093B"/>
    <w:rsid w:val="00FA2AB0"/>
    <w:rsid w:val="00FB23C3"/>
    <w:rsid w:val="00FE1651"/>
    <w:rsid w:val="00FE26C6"/>
    <w:rsid w:val="00FF2037"/>
    <w:rsid w:val="02CB2D30"/>
    <w:rsid w:val="04E82683"/>
    <w:rsid w:val="09483C7C"/>
    <w:rsid w:val="0A0951E6"/>
    <w:rsid w:val="0D9A7BAD"/>
    <w:rsid w:val="102764FF"/>
    <w:rsid w:val="12215158"/>
    <w:rsid w:val="12E416EB"/>
    <w:rsid w:val="148F6D68"/>
    <w:rsid w:val="18B018A3"/>
    <w:rsid w:val="1B822355"/>
    <w:rsid w:val="1CF347D0"/>
    <w:rsid w:val="1D7754BC"/>
    <w:rsid w:val="1D9F266C"/>
    <w:rsid w:val="1DFA1AED"/>
    <w:rsid w:val="23143057"/>
    <w:rsid w:val="274318C9"/>
    <w:rsid w:val="2B2614CB"/>
    <w:rsid w:val="2D8C4802"/>
    <w:rsid w:val="2E100838"/>
    <w:rsid w:val="311D2E05"/>
    <w:rsid w:val="32C55D9E"/>
    <w:rsid w:val="357069F0"/>
    <w:rsid w:val="37714620"/>
    <w:rsid w:val="39473A65"/>
    <w:rsid w:val="3B1757A3"/>
    <w:rsid w:val="3E452F8E"/>
    <w:rsid w:val="42CB6326"/>
    <w:rsid w:val="45776CA3"/>
    <w:rsid w:val="4ABB422A"/>
    <w:rsid w:val="4B3854D9"/>
    <w:rsid w:val="4FB63332"/>
    <w:rsid w:val="510612FC"/>
    <w:rsid w:val="556278BC"/>
    <w:rsid w:val="55C36911"/>
    <w:rsid w:val="58054B0A"/>
    <w:rsid w:val="587B0306"/>
    <w:rsid w:val="5B8039E8"/>
    <w:rsid w:val="5D8A0D6F"/>
    <w:rsid w:val="5F9C225E"/>
    <w:rsid w:val="613C41A8"/>
    <w:rsid w:val="621E5D60"/>
    <w:rsid w:val="646C7EC4"/>
    <w:rsid w:val="649F0D7A"/>
    <w:rsid w:val="66E65852"/>
    <w:rsid w:val="68965191"/>
    <w:rsid w:val="6CF97F62"/>
    <w:rsid w:val="6ECF5C49"/>
    <w:rsid w:val="6F1C5868"/>
    <w:rsid w:val="70C95C99"/>
    <w:rsid w:val="732E63CA"/>
    <w:rsid w:val="733846E6"/>
    <w:rsid w:val="741F11FF"/>
    <w:rsid w:val="792F6650"/>
    <w:rsid w:val="79F71E68"/>
    <w:rsid w:val="7BD24F2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rPr>
      <w:rFonts w:ascii="Times New Roman" w:hAnsi="Times New Roman" w:cs="Times New Roman"/>
      <w:sz w:val="24"/>
    </w:rPr>
  </w:style>
  <w:style w:type="paragraph" w:customStyle="1" w:styleId="8">
    <w:name w:val="List Paragraph"/>
    <w:basedOn w:val="1"/>
    <w:qFormat/>
    <w:uiPriority w:val="34"/>
    <w:pPr>
      <w:ind w:firstLine="420" w:firstLineChars="200"/>
    </w:pPr>
  </w:style>
  <w:style w:type="paragraph" w:customStyle="1" w:styleId="9">
    <w:name w:val="p0"/>
    <w:basedOn w:val="1"/>
    <w:qFormat/>
    <w:uiPriority w:val="0"/>
    <w:pPr>
      <w:widowControl/>
    </w:pPr>
    <w:rPr>
      <w:rFonts w:ascii="Calibri" w:hAnsi="Calibri" w:eastAsia="宋体" w:cs="宋体"/>
      <w:kern w:val="0"/>
      <w:szCs w:val="21"/>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rFonts w:ascii="Calibri" w:hAnsi="Calibri" w:eastAsia="宋体" w:cs="黑体"/>
      <w:sz w:val="18"/>
      <w:szCs w:val="18"/>
    </w:rPr>
  </w:style>
  <w:style w:type="character" w:customStyle="1" w:styleId="13">
    <w:name w:val="apple-converted-space"/>
    <w:basedOn w:val="6"/>
    <w:qFormat/>
    <w:uiPriority w:val="0"/>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5</Pages>
  <Words>356</Words>
  <Characters>2032</Characters>
  <Lines>16</Lines>
  <Paragraphs>4</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2020-07-15T03:17:00Z</dcterms:created>
  <dc:creator>1</dc:creator>
  <cp:lastModifiedBy>董廷俊</cp:lastModifiedBy>
  <cp:lastPrinted>2020-07-16T02:44:00Z</cp:lastPrinted>
  <dcterms:modified xsi:type="dcterms:W3CDTF">2021-01-08T03:16:38Z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