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bCs/>
          <w:sz w:val="32"/>
          <w:szCs w:val="32"/>
        </w:rPr>
      </w:pPr>
      <w:r>
        <w:rPr>
          <w:rFonts w:hint="eastAsia" w:ascii="仿宋" w:hAnsi="仿宋" w:eastAsia="仿宋" w:cs="仿宋"/>
          <w:bCs/>
          <w:sz w:val="32"/>
          <w:szCs w:val="32"/>
        </w:rPr>
        <w:t>附件1</w:t>
      </w:r>
    </w:p>
    <w:p>
      <w:pPr>
        <w:spacing w:line="520" w:lineRule="exact"/>
        <w:jc w:val="center"/>
        <w:rPr>
          <w:rStyle w:val="14"/>
          <w:rFonts w:hint="eastAsia" w:ascii="仿宋" w:hAnsi="仿宋" w:eastAsia="仿宋" w:cs="仿宋"/>
          <w:b w:val="0"/>
          <w:sz w:val="44"/>
          <w:szCs w:val="44"/>
        </w:rPr>
      </w:pPr>
      <w:r>
        <w:rPr>
          <w:rStyle w:val="14"/>
          <w:rFonts w:hint="eastAsia" w:ascii="仿宋" w:hAnsi="仿宋" w:eastAsia="仿宋" w:cs="仿宋"/>
          <w:b w:val="0"/>
          <w:sz w:val="44"/>
          <w:szCs w:val="44"/>
        </w:rPr>
        <w:t>本次检验项目</w:t>
      </w:r>
    </w:p>
    <w:p>
      <w:pPr>
        <w:spacing w:line="440" w:lineRule="exact"/>
        <w:ind w:firstLine="640"/>
        <w:rPr>
          <w:rFonts w:hint="eastAsia" w:ascii="仿宋" w:hAnsi="仿宋" w:eastAsia="仿宋" w:cs="仿宋"/>
          <w:sz w:val="32"/>
          <w:szCs w:val="32"/>
        </w:rPr>
      </w:pPr>
      <w:r>
        <w:rPr>
          <w:rFonts w:hint="eastAsia" w:ascii="仿宋" w:hAnsi="仿宋" w:eastAsia="仿宋" w:cs="仿宋"/>
          <w:b/>
          <w:sz w:val="32"/>
          <w:szCs w:val="32"/>
        </w:rPr>
        <w:t xml:space="preserve"> </w:t>
      </w:r>
    </w:p>
    <w:p>
      <w:pPr>
        <w:spacing w:line="440" w:lineRule="exact"/>
        <w:ind w:firstLine="643" w:firstLineChars="200"/>
        <w:jc w:val="left"/>
        <w:rPr>
          <w:rFonts w:hint="eastAsia" w:ascii="仿宋" w:hAnsi="仿宋" w:eastAsia="仿宋" w:cs="仿宋"/>
          <w:b/>
          <w:sz w:val="32"/>
          <w:szCs w:val="32"/>
          <w:lang w:eastAsia="zh-CN"/>
        </w:rPr>
      </w:pPr>
      <w:r>
        <w:rPr>
          <w:rFonts w:hint="eastAsia" w:ascii="仿宋" w:hAnsi="仿宋" w:eastAsia="仿宋" w:cs="仿宋"/>
          <w:b/>
          <w:sz w:val="32"/>
          <w:szCs w:val="32"/>
          <w:lang w:eastAsia="zh-CN"/>
        </w:rPr>
        <w:t>一、淀粉及淀粉制品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抽检依据</w:t>
      </w:r>
      <w:r>
        <w:rPr>
          <w:rFonts w:hint="eastAsia" w:ascii="仿宋" w:hAnsi="仿宋" w:eastAsia="仿宋" w:cs="仿宋"/>
          <w:sz w:val="32"/>
          <w:szCs w:val="32"/>
        </w:rPr>
        <w:t>GB 2760-2014</w:t>
      </w:r>
      <w:r>
        <w:rPr>
          <w:rFonts w:hint="eastAsia" w:ascii="仿宋" w:hAnsi="仿宋" w:eastAsia="仿宋" w:cs="仿宋"/>
          <w:sz w:val="32"/>
          <w:szCs w:val="32"/>
          <w:lang w:eastAsia="zh-CN"/>
        </w:rPr>
        <w:t>、GB 2762-2017</w:t>
      </w:r>
      <w:r>
        <w:rPr>
          <w:rFonts w:hint="eastAsia" w:ascii="仿宋" w:hAnsi="仿宋" w:eastAsia="仿宋" w:cs="仿宋"/>
          <w:color w:val="auto"/>
          <w:sz w:val="32"/>
          <w:szCs w:val="32"/>
        </w:rPr>
        <w:t>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numPr>
          <w:ilvl w:val="0"/>
          <w:numId w:val="0"/>
        </w:numPr>
        <w:spacing w:line="440" w:lineRule="exact"/>
        <w:ind w:firstLine="960" w:firstLineChars="300"/>
        <w:rPr>
          <w:rFonts w:hint="eastAsia" w:ascii="仿宋" w:hAnsi="仿宋" w:eastAsia="仿宋" w:cs="仿宋"/>
          <w:sz w:val="32"/>
          <w:szCs w:val="32"/>
          <w:lang w:eastAsia="zh-CN"/>
        </w:rPr>
      </w:pPr>
      <w:r>
        <w:rPr>
          <w:rFonts w:hint="eastAsia" w:ascii="仿宋" w:hAnsi="仿宋" w:eastAsia="仿宋" w:cs="仿宋"/>
          <w:sz w:val="32"/>
          <w:szCs w:val="32"/>
          <w:lang w:val="en-US" w:eastAsia="zh-CN"/>
        </w:rPr>
        <w:t>粉丝粉条</w:t>
      </w:r>
      <w:r>
        <w:rPr>
          <w:rFonts w:hint="eastAsia" w:ascii="仿宋" w:hAnsi="仿宋" w:eastAsia="仿宋" w:cs="仿宋"/>
          <w:sz w:val="32"/>
          <w:szCs w:val="32"/>
        </w:rPr>
        <w:t>抽检项目包括铅(以Pb计)、二氧化硫残留量、铝的残留量(干样品，以Al计)</w:t>
      </w:r>
      <w:r>
        <w:rPr>
          <w:rFonts w:hint="eastAsia" w:ascii="仿宋" w:hAnsi="仿宋" w:eastAsia="仿宋" w:cs="仿宋"/>
          <w:sz w:val="32"/>
          <w:szCs w:val="32"/>
          <w:lang w:eastAsia="zh-CN"/>
        </w:rPr>
        <w:t>。</w:t>
      </w:r>
    </w:p>
    <w:p>
      <w:pPr>
        <w:numPr>
          <w:ilvl w:val="0"/>
          <w:numId w:val="0"/>
        </w:numPr>
        <w:spacing w:line="440" w:lineRule="exact"/>
        <w:ind w:firstLine="321" w:firstLineChars="100"/>
        <w:rPr>
          <w:rFonts w:hint="eastAsia" w:ascii="仿宋" w:hAnsi="仿宋" w:eastAsia="仿宋" w:cs="仿宋"/>
          <w:b/>
          <w:bCs w:val="0"/>
          <w:sz w:val="32"/>
          <w:szCs w:val="32"/>
        </w:rPr>
      </w:pPr>
      <w:r>
        <w:rPr>
          <w:rFonts w:hint="eastAsia" w:ascii="仿宋" w:hAnsi="仿宋" w:eastAsia="仿宋" w:cs="仿宋"/>
          <w:b/>
          <w:bCs w:val="0"/>
          <w:sz w:val="32"/>
          <w:szCs w:val="32"/>
          <w:lang w:eastAsia="zh-CN"/>
        </w:rPr>
        <w:t>二、</w:t>
      </w:r>
      <w:r>
        <w:rPr>
          <w:rFonts w:hint="eastAsia" w:ascii="仿宋" w:hAnsi="仿宋" w:eastAsia="仿宋" w:cs="仿宋"/>
          <w:b/>
          <w:bCs w:val="0"/>
          <w:sz w:val="32"/>
          <w:szCs w:val="32"/>
        </w:rPr>
        <w:t>肉制品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numPr>
          <w:ilvl w:val="0"/>
          <w:numId w:val="0"/>
        </w:numPr>
        <w:spacing w:line="440" w:lineRule="exact"/>
        <w:ind w:firstLine="640" w:firstLineChars="200"/>
        <w:rPr>
          <w:rFonts w:hint="eastAsia" w:ascii="仿宋" w:hAnsi="仿宋" w:eastAsia="仿宋" w:cs="仿宋"/>
          <w:b/>
          <w:sz w:val="32"/>
          <w:szCs w:val="32"/>
          <w:lang w:val="en-US" w:eastAsia="zh-CN"/>
        </w:rPr>
      </w:pPr>
      <w:r>
        <w:rPr>
          <w:rFonts w:hint="eastAsia" w:ascii="仿宋" w:hAnsi="仿宋" w:eastAsia="仿宋" w:cs="仿宋"/>
          <w:sz w:val="32"/>
          <w:szCs w:val="32"/>
        </w:rPr>
        <w:t>抽检依据整顿办函(2011)1号</w:t>
      </w:r>
      <w:r>
        <w:rPr>
          <w:rFonts w:hint="eastAsia" w:ascii="仿宋" w:hAnsi="仿宋" w:eastAsia="仿宋" w:cs="仿宋"/>
          <w:color w:val="auto"/>
          <w:sz w:val="32"/>
          <w:szCs w:val="32"/>
        </w:rPr>
        <w:t>等标准及产品明示标准和指标的要求</w:t>
      </w:r>
      <w:r>
        <w:rPr>
          <w:rFonts w:hint="eastAsia" w:ascii="仿宋" w:hAnsi="仿宋" w:eastAsia="仿宋" w:cs="仿宋"/>
          <w:i w:val="0"/>
          <w:caps w:val="0"/>
          <w:color w:val="333333"/>
          <w:spacing w:val="0"/>
          <w:sz w:val="32"/>
          <w:szCs w:val="32"/>
          <w:shd w:val="clear" w:fill="FFFFFF"/>
          <w:lang w:eastAsia="zh-CN"/>
        </w:rPr>
        <w:t>。</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numPr>
          <w:ilvl w:val="0"/>
          <w:numId w:val="0"/>
        </w:num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食用血制品</w:t>
      </w:r>
      <w:r>
        <w:rPr>
          <w:rFonts w:hint="eastAsia" w:ascii="仿宋" w:hAnsi="仿宋" w:eastAsia="仿宋" w:cs="仿宋"/>
          <w:sz w:val="32"/>
          <w:szCs w:val="32"/>
        </w:rPr>
        <w:t>检项目包括</w:t>
      </w:r>
      <w:r>
        <w:rPr>
          <w:rFonts w:hint="eastAsia" w:ascii="仿宋" w:hAnsi="仿宋" w:eastAsia="仿宋" w:cs="仿宋"/>
          <w:sz w:val="32"/>
          <w:szCs w:val="32"/>
          <w:lang w:val="en-US" w:eastAsia="zh-CN"/>
        </w:rPr>
        <w:t>甲醛。</w:t>
      </w:r>
    </w:p>
    <w:p>
      <w:pPr>
        <w:numPr>
          <w:ilvl w:val="0"/>
          <w:numId w:val="0"/>
        </w:numPr>
        <w:spacing w:line="440" w:lineRule="exact"/>
        <w:ind w:firstLine="321" w:firstLineChars="1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三、食用农产品</w:t>
      </w:r>
    </w:p>
    <w:p>
      <w:pPr>
        <w:numPr>
          <w:ilvl w:val="0"/>
          <w:numId w:val="0"/>
        </w:numPr>
        <w:spacing w:line="440" w:lineRule="exact"/>
        <w:ind w:firstLine="321" w:firstLineChars="100"/>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sz w:val="32"/>
          <w:szCs w:val="32"/>
        </w:rPr>
        <w:t>（一）</w:t>
      </w:r>
      <w:r>
        <w:rPr>
          <w:rFonts w:hint="eastAsia" w:ascii="仿宋" w:hAnsi="仿宋" w:eastAsia="仿宋" w:cs="仿宋"/>
          <w:b/>
          <w:bCs/>
          <w:sz w:val="32"/>
          <w:szCs w:val="32"/>
        </w:rPr>
        <w:t>抽检依据</w:t>
      </w:r>
    </w:p>
    <w:p>
      <w:pPr>
        <w:numPr>
          <w:ilvl w:val="0"/>
          <w:numId w:val="0"/>
        </w:num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抽检依据</w:t>
      </w:r>
      <w:r>
        <w:rPr>
          <w:rFonts w:hint="eastAsia" w:ascii="仿宋" w:hAnsi="仿宋" w:eastAsia="仿宋" w:cs="仿宋"/>
          <w:sz w:val="32"/>
          <w:szCs w:val="32"/>
          <w:lang w:val="en-US" w:eastAsia="zh-CN"/>
        </w:rPr>
        <w:t>GB 2763-2019</w:t>
      </w:r>
      <w:r>
        <w:rPr>
          <w:rFonts w:hint="eastAsia" w:ascii="仿宋" w:hAnsi="仿宋" w:eastAsia="仿宋" w:cs="仿宋"/>
          <w:sz w:val="32"/>
          <w:szCs w:val="32"/>
          <w:lang w:val="en-US" w:eastAsia="zh-CN"/>
        </w:rPr>
        <w:t>、GB 2762-2017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国家食品药品监督管理总局农业部国家卫生和计划生育委员会关于豆芽生产过程中禁止使用6-苄基腺嘌呤等物质的公告（2015 年第 11 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GB 22556-2008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GB 2760-2014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农业农村部公告第250号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整顿办函[2010]50号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GB 31650-2019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农业部公告第2292号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GB 2761-2017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GB 19300-2014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农业部公告第 560 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农业部公告第560号</w:t>
      </w:r>
      <w:r>
        <w:rPr>
          <w:rFonts w:hint="eastAsia" w:ascii="仿宋" w:hAnsi="仿宋" w:eastAsia="仿宋" w:cs="仿宋"/>
          <w:sz w:val="32"/>
          <w:szCs w:val="32"/>
          <w:lang w:eastAsia="zh-CN"/>
        </w:rPr>
        <w:t>。</w:t>
      </w:r>
    </w:p>
    <w:p>
      <w:pPr>
        <w:numPr>
          <w:ilvl w:val="0"/>
          <w:numId w:val="0"/>
        </w:num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检验项目</w:t>
      </w:r>
    </w:p>
    <w:p>
      <w:pPr>
        <w:numPr>
          <w:ilvl w:val="0"/>
          <w:numId w:val="0"/>
        </w:numPr>
        <w:spacing w:line="440" w:lineRule="exact"/>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1.畜禽肉及副产品</w:t>
      </w:r>
      <w:r>
        <w:rPr>
          <w:rFonts w:hint="eastAsia" w:ascii="仿宋" w:hAnsi="仿宋" w:eastAsia="仿宋" w:cs="仿宋"/>
          <w:sz w:val="32"/>
          <w:szCs w:val="32"/>
          <w:lang w:eastAsia="zh-CN"/>
        </w:rPr>
        <w:t>抽检项目包括</w:t>
      </w:r>
      <w:r>
        <w:rPr>
          <w:rFonts w:hint="default" w:ascii="仿宋" w:hAnsi="仿宋" w:eastAsia="仿宋" w:cs="仿宋"/>
          <w:sz w:val="32"/>
          <w:szCs w:val="32"/>
          <w:lang w:val="en-US" w:eastAsia="zh-CN"/>
        </w:rPr>
        <w:t>氯霉素</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克伦特罗</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沙丁胺醇</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土霉素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磺胺类(总量)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金刚烷胺</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恩诺沙星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多西环素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金霉素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莱克多巴胺</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五氯酚酸钠(以五氯酚计)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地塞米松</w:t>
      </w:r>
      <w:r>
        <w:rPr>
          <w:rFonts w:hint="eastAsia" w:ascii="仿宋" w:hAnsi="仿宋" w:eastAsia="仿宋" w:cs="仿宋"/>
          <w:sz w:val="32"/>
          <w:szCs w:val="32"/>
          <w:lang w:eastAsia="zh-CN"/>
        </w:rPr>
        <w:t>。</w:t>
      </w:r>
    </w:p>
    <w:p>
      <w:pPr>
        <w:numPr>
          <w:ilvl w:val="0"/>
          <w:numId w:val="0"/>
        </w:numPr>
        <w:spacing w:line="440" w:lineRule="exact"/>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2.蔬菜</w:t>
      </w:r>
      <w:r>
        <w:rPr>
          <w:rFonts w:hint="eastAsia" w:ascii="仿宋" w:hAnsi="仿宋" w:eastAsia="仿宋" w:cs="仿宋"/>
          <w:sz w:val="32"/>
          <w:szCs w:val="32"/>
          <w:lang w:eastAsia="zh-CN"/>
        </w:rPr>
        <w:t>抽检项目包括</w:t>
      </w:r>
      <w:r>
        <w:rPr>
          <w:rFonts w:hint="default" w:ascii="仿宋" w:hAnsi="仿宋" w:eastAsia="仿宋" w:cs="仿宋"/>
          <w:sz w:val="32"/>
          <w:szCs w:val="32"/>
          <w:lang w:val="en-US" w:eastAsia="zh-CN"/>
        </w:rPr>
        <w:t>克百威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氧乐果</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啶虫脒</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阿维菌素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甲胺磷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甲拌磷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甲基异柳磷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对硫磷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铅(以Pb计)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吡虫啉</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4-氯苯氧乙酸钠(以4-氯苯氧乙酸计)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亚硫酸盐(以SO₂计)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6-苄基腺嘌呤(6-BA)</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灭多威</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二氧化硫残留量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腐霉利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涕灭威</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辛硫磷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灭蝇胺</w:t>
      </w:r>
      <w:r>
        <w:rPr>
          <w:rFonts w:hint="eastAsia" w:ascii="仿宋" w:hAnsi="仿宋" w:eastAsia="仿宋" w:cs="仿宋"/>
          <w:sz w:val="32"/>
          <w:szCs w:val="32"/>
          <w:lang w:val="en-US" w:eastAsia="zh-CN"/>
        </w:rPr>
        <w:t>。</w:t>
      </w:r>
    </w:p>
    <w:p>
      <w:pPr>
        <w:numPr>
          <w:ilvl w:val="0"/>
          <w:numId w:val="0"/>
        </w:numPr>
        <w:spacing w:line="440" w:lineRule="exact"/>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3.水果类</w:t>
      </w:r>
      <w:r>
        <w:rPr>
          <w:rFonts w:hint="eastAsia" w:ascii="仿宋" w:hAnsi="仿宋" w:eastAsia="仿宋" w:cs="仿宋"/>
          <w:sz w:val="32"/>
          <w:szCs w:val="32"/>
          <w:lang w:eastAsia="zh-CN"/>
        </w:rPr>
        <w:t>抽检项目包括</w:t>
      </w:r>
      <w:r>
        <w:rPr>
          <w:rFonts w:hint="default" w:ascii="仿宋" w:hAnsi="仿宋" w:eastAsia="仿宋" w:cs="仿宋"/>
          <w:sz w:val="32"/>
          <w:szCs w:val="32"/>
          <w:lang w:val="en-US" w:eastAsia="zh-CN"/>
        </w:rPr>
        <w:t>甲拌磷</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克百威</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氧乐果</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敌敌畏</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毒死蜱</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对硫磷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丙溴磷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吡唑醚菌酯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多菌灵</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苯醚甲环唑</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氟虫腈</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氟氯氰菊酯和高效氟氯氰菊酯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甲基异柳磷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烯酰吗啉</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三唑磷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水胺硫磷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联苯菊酯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甲胺磷</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氯氟氰菊酯和高效氯氟氰菊酯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氯氰菊酯和高效氯氰菊酯</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氯吡脲</w:t>
      </w:r>
      <w:r>
        <w:rPr>
          <w:rFonts w:hint="eastAsia" w:ascii="仿宋" w:hAnsi="仿宋" w:eastAsia="仿宋" w:cs="仿宋"/>
          <w:sz w:val="32"/>
          <w:szCs w:val="32"/>
          <w:lang w:eastAsia="zh-CN"/>
        </w:rPr>
        <w:t>。</w:t>
      </w:r>
    </w:p>
    <w:p>
      <w:pPr>
        <w:numPr>
          <w:ilvl w:val="0"/>
          <w:numId w:val="0"/>
        </w:numPr>
        <w:spacing w:line="440" w:lineRule="exact"/>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4.水产品</w:t>
      </w:r>
      <w:r>
        <w:rPr>
          <w:rFonts w:hint="eastAsia" w:ascii="仿宋" w:hAnsi="仿宋" w:eastAsia="仿宋" w:cs="仿宋"/>
          <w:sz w:val="32"/>
          <w:szCs w:val="32"/>
          <w:lang w:eastAsia="zh-CN"/>
        </w:rPr>
        <w:t>抽检项目包括</w:t>
      </w:r>
      <w:r>
        <w:rPr>
          <w:rFonts w:hint="default" w:ascii="仿宋" w:hAnsi="仿宋" w:eastAsia="仿宋" w:cs="仿宋"/>
          <w:sz w:val="32"/>
          <w:szCs w:val="32"/>
          <w:lang w:val="en-US" w:eastAsia="zh-CN"/>
        </w:rPr>
        <w:t>恩诺沙星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呋喃唑酮代谢物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呋喃西林代谢物</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孔雀石绿</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土霉素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镉(以Cd计)</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培氟沙星</w:t>
      </w:r>
      <w:r>
        <w:rPr>
          <w:rFonts w:hint="eastAsia" w:ascii="仿宋" w:hAnsi="仿宋" w:eastAsia="仿宋" w:cs="仿宋"/>
          <w:sz w:val="32"/>
          <w:szCs w:val="32"/>
          <w:lang w:val="en-US" w:eastAsia="zh-CN"/>
        </w:rPr>
        <w:t>。</w:t>
      </w:r>
    </w:p>
    <w:p>
      <w:pPr>
        <w:numPr>
          <w:ilvl w:val="0"/>
          <w:numId w:val="0"/>
        </w:numPr>
        <w:spacing w:line="440" w:lineRule="exact"/>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5.鲜蛋</w:t>
      </w:r>
      <w:r>
        <w:rPr>
          <w:rFonts w:hint="eastAsia" w:ascii="仿宋" w:hAnsi="仿宋" w:eastAsia="仿宋" w:cs="仿宋"/>
          <w:sz w:val="32"/>
          <w:szCs w:val="32"/>
          <w:lang w:eastAsia="zh-CN"/>
        </w:rPr>
        <w:t>抽检项目包括</w:t>
      </w:r>
      <w:r>
        <w:rPr>
          <w:rFonts w:hint="default" w:ascii="仿宋" w:hAnsi="仿宋" w:eastAsia="仿宋" w:cs="仿宋"/>
          <w:sz w:val="32"/>
          <w:szCs w:val="32"/>
          <w:lang w:val="en-US" w:eastAsia="zh-CN"/>
        </w:rPr>
        <w:t>氟苯尼考</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氧氟沙星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恩诺沙星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诺氟沙星</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氯霉素</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金刚烷胺</w:t>
      </w:r>
      <w:r>
        <w:rPr>
          <w:rFonts w:hint="eastAsia" w:ascii="仿宋" w:hAnsi="仿宋" w:eastAsia="仿宋" w:cs="仿宋"/>
          <w:sz w:val="32"/>
          <w:szCs w:val="32"/>
          <w:lang w:eastAsia="zh-CN"/>
        </w:rPr>
        <w:t>、</w:t>
      </w:r>
      <w:r>
        <w:rPr>
          <w:rFonts w:hint="default" w:ascii="仿宋" w:hAnsi="仿宋" w:eastAsia="仿宋" w:cs="仿宋"/>
          <w:sz w:val="32"/>
          <w:szCs w:val="32"/>
          <w:lang w:val="en-US" w:eastAsia="zh-CN"/>
        </w:rPr>
        <w:t>金刚乙胺</w:t>
      </w:r>
      <w:r>
        <w:rPr>
          <w:rFonts w:hint="eastAsia" w:ascii="仿宋" w:hAnsi="仿宋" w:eastAsia="仿宋" w:cs="仿宋"/>
          <w:sz w:val="32"/>
          <w:szCs w:val="32"/>
          <w:lang w:eastAsia="zh-CN"/>
        </w:rPr>
        <w:t>。</w:t>
      </w:r>
    </w:p>
    <w:p>
      <w:pPr>
        <w:numPr>
          <w:ilvl w:val="0"/>
          <w:numId w:val="0"/>
        </w:numPr>
        <w:spacing w:line="440" w:lineRule="exact"/>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6.生干坚果与籽类食品</w:t>
      </w:r>
      <w:r>
        <w:rPr>
          <w:rFonts w:hint="eastAsia" w:ascii="仿宋" w:hAnsi="仿宋" w:eastAsia="仿宋" w:cs="仿宋"/>
          <w:sz w:val="32"/>
          <w:szCs w:val="32"/>
          <w:lang w:eastAsia="zh-CN"/>
        </w:rPr>
        <w:t>抽检项目酸价(以脂肪计)(KOH)</w:t>
      </w:r>
      <w:r>
        <w:rPr>
          <w:rFonts w:hint="eastAsia" w:ascii="仿宋" w:hAnsi="仿宋" w:eastAsia="仿宋" w:cs="仿宋"/>
          <w:sz w:val="32"/>
          <w:szCs w:val="32"/>
          <w:lang w:eastAsia="zh-CN"/>
        </w:rPr>
        <w:t>、过氧化值(以脂肪计)、铅(以Pb计)、黄曲霉毒素B₁。</w:t>
      </w:r>
    </w:p>
    <w:p>
      <w:pPr>
        <w:numPr>
          <w:ilvl w:val="0"/>
          <w:numId w:val="0"/>
        </w:numPr>
        <w:spacing w:line="440" w:lineRule="exact"/>
        <w:ind w:firstLine="320" w:firstLineChars="100"/>
        <w:rPr>
          <w:rFonts w:hint="eastAsia" w:ascii="仿宋" w:hAnsi="仿宋" w:eastAsia="仿宋" w:cs="仿宋"/>
          <w:sz w:val="32"/>
          <w:szCs w:val="32"/>
          <w:lang w:eastAsia="zh-CN"/>
        </w:rPr>
      </w:pPr>
      <w:r>
        <w:rPr>
          <w:rFonts w:hint="eastAsia" w:ascii="仿宋" w:hAnsi="仿宋" w:eastAsia="仿宋" w:cs="仿宋"/>
          <w:sz w:val="32"/>
          <w:szCs w:val="32"/>
          <w:lang w:val="en-US" w:eastAsia="zh-CN"/>
        </w:rPr>
        <w:t>7.豆类</w:t>
      </w:r>
      <w:r>
        <w:rPr>
          <w:rFonts w:hint="eastAsia" w:ascii="仿宋" w:hAnsi="仿宋" w:eastAsia="仿宋" w:cs="仿宋"/>
          <w:sz w:val="32"/>
          <w:szCs w:val="32"/>
          <w:lang w:eastAsia="zh-CN"/>
        </w:rPr>
        <w:t>抽检项目包括吡虫啉</w:t>
      </w:r>
      <w:r>
        <w:rPr>
          <w:rFonts w:hint="eastAsia" w:ascii="仿宋" w:hAnsi="仿宋" w:eastAsia="仿宋" w:cs="仿宋"/>
          <w:sz w:val="32"/>
          <w:szCs w:val="32"/>
          <w:lang w:eastAsia="zh-CN"/>
        </w:rPr>
        <w:t>、铬(以Cr计)、赭曲霉毒素A、铅(以Pb计)。</w:t>
      </w:r>
    </w:p>
    <w:p>
      <w:pPr>
        <w:numPr>
          <w:ilvl w:val="0"/>
          <w:numId w:val="0"/>
        </w:numPr>
        <w:spacing w:line="440" w:lineRule="exact"/>
        <w:ind w:firstLine="640" w:firstLineChars="200"/>
        <w:rPr>
          <w:rFonts w:hint="eastAsia"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F54DB"/>
    <w:rsid w:val="01277657"/>
    <w:rsid w:val="01580EF0"/>
    <w:rsid w:val="03A838D5"/>
    <w:rsid w:val="0567504F"/>
    <w:rsid w:val="07EB147C"/>
    <w:rsid w:val="0A2505BC"/>
    <w:rsid w:val="0EC56FEA"/>
    <w:rsid w:val="11EF54DB"/>
    <w:rsid w:val="128F2827"/>
    <w:rsid w:val="1373373F"/>
    <w:rsid w:val="14627A69"/>
    <w:rsid w:val="15E80DD9"/>
    <w:rsid w:val="187C357E"/>
    <w:rsid w:val="19F32051"/>
    <w:rsid w:val="1B591DA6"/>
    <w:rsid w:val="1BB9627F"/>
    <w:rsid w:val="1D41234E"/>
    <w:rsid w:val="1E031FB0"/>
    <w:rsid w:val="1E5C51C4"/>
    <w:rsid w:val="210D5C5D"/>
    <w:rsid w:val="214A1DB7"/>
    <w:rsid w:val="24C7444B"/>
    <w:rsid w:val="254E2CAE"/>
    <w:rsid w:val="260C095C"/>
    <w:rsid w:val="28F9231C"/>
    <w:rsid w:val="2D9F739D"/>
    <w:rsid w:val="2FD94FD4"/>
    <w:rsid w:val="32161A02"/>
    <w:rsid w:val="338C233E"/>
    <w:rsid w:val="33E51D8E"/>
    <w:rsid w:val="36FB547C"/>
    <w:rsid w:val="38897CBB"/>
    <w:rsid w:val="3A4C724D"/>
    <w:rsid w:val="3AAF0323"/>
    <w:rsid w:val="3C885698"/>
    <w:rsid w:val="3CED5833"/>
    <w:rsid w:val="477035F1"/>
    <w:rsid w:val="4A560B3F"/>
    <w:rsid w:val="4C20258C"/>
    <w:rsid w:val="4D4962E4"/>
    <w:rsid w:val="4F0133E7"/>
    <w:rsid w:val="4F991490"/>
    <w:rsid w:val="531E46CA"/>
    <w:rsid w:val="5595309F"/>
    <w:rsid w:val="56625C92"/>
    <w:rsid w:val="583E3DDC"/>
    <w:rsid w:val="59F36BB9"/>
    <w:rsid w:val="5AAC03DD"/>
    <w:rsid w:val="5AEA18B6"/>
    <w:rsid w:val="5E375F29"/>
    <w:rsid w:val="5FE366F8"/>
    <w:rsid w:val="63D8370D"/>
    <w:rsid w:val="65FB7ABA"/>
    <w:rsid w:val="6A364A94"/>
    <w:rsid w:val="6B2B05B2"/>
    <w:rsid w:val="6B916080"/>
    <w:rsid w:val="6BEC2508"/>
    <w:rsid w:val="6D8E4D67"/>
    <w:rsid w:val="6FA248F7"/>
    <w:rsid w:val="70F60347"/>
    <w:rsid w:val="71BC4480"/>
    <w:rsid w:val="74E52EC6"/>
    <w:rsid w:val="75E709EA"/>
    <w:rsid w:val="76275CCF"/>
    <w:rsid w:val="78B56F07"/>
    <w:rsid w:val="7B7B2338"/>
    <w:rsid w:val="7D5B37D1"/>
    <w:rsid w:val="7DEA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link w:val="14"/>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character" w:styleId="7">
    <w:name w:val="Strong"/>
    <w:basedOn w:val="6"/>
    <w:qFormat/>
    <w:uiPriority w:val="0"/>
    <w:rPr>
      <w:b/>
    </w:rPr>
  </w:style>
  <w:style w:type="character" w:styleId="8">
    <w:name w:val="FollowedHyperlink"/>
    <w:basedOn w:val="6"/>
    <w:qFormat/>
    <w:uiPriority w:val="0"/>
    <w:rPr>
      <w:color w:val="337AB7"/>
      <w:u w:val="none"/>
    </w:rPr>
  </w:style>
  <w:style w:type="character" w:styleId="9">
    <w:name w:val="HTML Definition"/>
    <w:basedOn w:val="6"/>
    <w:qFormat/>
    <w:uiPriority w:val="0"/>
    <w:rPr>
      <w:i/>
    </w:rPr>
  </w:style>
  <w:style w:type="character" w:styleId="10">
    <w:name w:val="Hyperlink"/>
    <w:basedOn w:val="6"/>
    <w:qFormat/>
    <w:uiPriority w:val="0"/>
    <w:rPr>
      <w:color w:val="337AB7"/>
      <w:u w:val="none"/>
    </w:rPr>
  </w:style>
  <w:style w:type="character" w:styleId="11">
    <w:name w:val="HTML Code"/>
    <w:basedOn w:val="6"/>
    <w:qFormat/>
    <w:uiPriority w:val="0"/>
    <w:rPr>
      <w:rFonts w:hint="default" w:ascii="Consolas" w:hAnsi="Consolas" w:eastAsia="Consolas" w:cs="Consolas"/>
      <w:color w:val="CA4440"/>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ascii="Consolas" w:hAnsi="Consolas" w:eastAsia="Consolas" w:cs="Consolas"/>
      <w:sz w:val="21"/>
      <w:szCs w:val="21"/>
    </w:rPr>
  </w:style>
  <w:style w:type="character" w:customStyle="1" w:styleId="14">
    <w:name w:val="标题 2 Char"/>
    <w:basedOn w:val="6"/>
    <w:link w:val="4"/>
    <w:qFormat/>
    <w:uiPriority w:val="0"/>
    <w:rPr>
      <w:rFonts w:ascii="Arial" w:hAnsi="Arial" w:eastAsia="黑体"/>
      <w:b/>
      <w:sz w:val="32"/>
    </w:rPr>
  </w:style>
  <w:style w:type="character" w:customStyle="1" w:styleId="15">
    <w:name w:val="label10"/>
    <w:basedOn w:val="6"/>
    <w:qFormat/>
    <w:uiPriority w:val="0"/>
    <w:rPr>
      <w:color w:val="1AB394"/>
      <w:shd w:val="clear" w:fill="FFFFFF"/>
    </w:rPr>
  </w:style>
  <w:style w:type="character" w:customStyle="1" w:styleId="16">
    <w:name w:val="label11"/>
    <w:basedOn w:val="6"/>
    <w:qFormat/>
    <w:uiPriority w:val="0"/>
    <w:rPr>
      <w:color w:val="1CC09F"/>
      <w:shd w:val="clear" w:fill="FFFFFF"/>
    </w:rPr>
  </w:style>
  <w:style w:type="character" w:customStyle="1" w:styleId="17">
    <w:name w:val="label12"/>
    <w:basedOn w:val="6"/>
    <w:qFormat/>
    <w:uiPriority w:val="0"/>
  </w:style>
  <w:style w:type="character" w:customStyle="1" w:styleId="18">
    <w:name w:val="label13"/>
    <w:basedOn w:val="6"/>
    <w:qFormat/>
    <w:uiPriority w:val="0"/>
  </w:style>
  <w:style w:type="character" w:customStyle="1" w:styleId="19">
    <w:name w:val="hover11"/>
    <w:basedOn w:val="6"/>
    <w:qFormat/>
    <w:uiPriority w:val="0"/>
    <w:rPr>
      <w:shd w:val="clear" w:fill="EEEEEE"/>
    </w:rPr>
  </w:style>
  <w:style w:type="character" w:customStyle="1" w:styleId="20">
    <w:name w:val="old"/>
    <w:basedOn w:val="6"/>
    <w:qFormat/>
    <w:uiPriority w:val="0"/>
    <w:rPr>
      <w:color w:val="999999"/>
    </w:rPr>
  </w:style>
  <w:style w:type="character" w:customStyle="1" w:styleId="21">
    <w:name w:val="new"/>
    <w:basedOn w:val="6"/>
    <w:qFormat/>
    <w:uiPriority w:val="0"/>
    <w:rPr>
      <w:color w:val="999999"/>
    </w:rPr>
  </w:style>
  <w:style w:type="character" w:customStyle="1" w:styleId="22">
    <w:name w:val="first-child"/>
    <w:basedOn w:val="6"/>
    <w:qFormat/>
    <w:uiPriority w:val="0"/>
  </w:style>
  <w:style w:type="character" w:customStyle="1" w:styleId="23">
    <w:name w:val="layui-this"/>
    <w:basedOn w:val="6"/>
    <w:qFormat/>
    <w:uiPriority w:val="0"/>
    <w:rPr>
      <w:bdr w:val="single" w:color="EEEEEE" w:sz="6" w:space="0"/>
      <w:shd w:val="clear" w:fill="FFFFFF"/>
    </w:rPr>
  </w:style>
  <w:style w:type="character" w:customStyle="1" w:styleId="24">
    <w:name w:val="active7"/>
    <w:basedOn w:val="6"/>
    <w:qFormat/>
    <w:uiPriority w:val="0"/>
    <w:rPr>
      <w:shd w:val="clear" w:fill="F6F6F6"/>
    </w:rPr>
  </w:style>
  <w:style w:type="character" w:customStyle="1" w:styleId="25">
    <w:name w:val="label"/>
    <w:basedOn w:val="6"/>
    <w:qFormat/>
    <w:uiPriority w:val="0"/>
    <w:rPr>
      <w:color w:val="1AB394"/>
      <w:shd w:val="clear" w:fill="FFFFFF"/>
    </w:rPr>
  </w:style>
  <w:style w:type="character" w:customStyle="1" w:styleId="26">
    <w:name w:val="label1"/>
    <w:basedOn w:val="6"/>
    <w:qFormat/>
    <w:uiPriority w:val="0"/>
    <w:rPr>
      <w:color w:val="1CC09F"/>
      <w:shd w:val="clear" w:fill="FFFFFF"/>
    </w:rPr>
  </w:style>
  <w:style w:type="character" w:customStyle="1" w:styleId="27">
    <w:name w:val="label2"/>
    <w:basedOn w:val="6"/>
    <w:qFormat/>
    <w:uiPriority w:val="0"/>
    <w:rPr>
      <w:bdr w:val="dashed" w:color="E7EAEC" w:sz="6" w:space="0"/>
      <w:shd w:val="clear" w:fill="F3F3F4"/>
    </w:rPr>
  </w:style>
  <w:style w:type="character" w:customStyle="1" w:styleId="28">
    <w:name w:val="label3"/>
    <w:basedOn w:val="6"/>
    <w:qFormat/>
    <w:uiPriority w:val="0"/>
  </w:style>
  <w:style w:type="character" w:customStyle="1" w:styleId="29">
    <w:name w:val="active"/>
    <w:basedOn w:val="6"/>
    <w:qFormat/>
    <w:uiPriority w:val="0"/>
    <w:rPr>
      <w:shd w:val="clear" w:fill="F6F6F6"/>
    </w:rPr>
  </w:style>
  <w:style w:type="character" w:customStyle="1" w:styleId="30">
    <w:name w:val="label9"/>
    <w:basedOn w:val="6"/>
    <w:qFormat/>
    <w:uiPriority w:val="0"/>
    <w:rPr>
      <w:color w:val="1CC09F"/>
      <w:shd w:val="clear" w:fill="FFFFFF"/>
    </w:rPr>
  </w:style>
  <w:style w:type="character" w:customStyle="1" w:styleId="31">
    <w:name w:val="hover10"/>
    <w:basedOn w:val="6"/>
    <w:qFormat/>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2019-05-07T08:39:00Z</dcterms:created>
  <dc:creator>♂屾屾</dc:creator>
  <cp:lastModifiedBy>母建菲</cp:lastModifiedBy>
  <dcterms:modified xsi:type="dcterms:W3CDTF">2020-09-22T01:42:59Z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