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spacing w:line="594"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lang w:val="en-US" w:eastAsia="zh-CN"/>
        </w:rPr>
        <w:t>一</w:t>
      </w:r>
      <w:r>
        <w:rPr>
          <w:rFonts w:ascii="黑体" w:hAnsi="黑体" w:eastAsia="黑体"/>
          <w:sz w:val="32"/>
          <w:szCs w:val="32"/>
        </w:rPr>
        <w:t>、铅（以</w:t>
      </w:r>
      <w:r>
        <w:rPr>
          <w:rFonts w:ascii="Times New Roman" w:hAnsi="Times New Roman" w:eastAsia="黑体" w:cs="Times New Roman"/>
          <w:sz w:val="32"/>
          <w:szCs w:val="32"/>
        </w:rPr>
        <w:t>Pb</w:t>
      </w:r>
      <w:r>
        <w:rPr>
          <w:rFonts w:ascii="黑体" w:hAnsi="黑体" w:eastAsia="黑体"/>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铅是最常见的重金属元素污染物之一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铅超标的原因，</w:t>
      </w:r>
      <w:r>
        <w:rPr>
          <w:rFonts w:hint="eastAsia" w:ascii="Times New Roman" w:hAnsi="Times New Roman" w:eastAsia="仿宋_GB2312" w:cs="Times New Roman"/>
          <w:sz w:val="32"/>
          <w:szCs w:val="32"/>
        </w:rPr>
        <w:t>可能是生产企业使用铅含量超标的原料；也可能是食品生产加工过程中生产场所、加工设备中的铅迁移带入，使得终产品铅含量超标。</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二</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、赭曲霉毒素A</w:t>
      </w:r>
    </w:p>
    <w:p>
      <w:pPr>
        <w:autoSpaceDE w:val="0"/>
        <w:autoSpaceDN w:val="0"/>
        <w:adjustRightInd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赭曲霉毒素A是由多种生长在粮食（小麦、玉米、大麦、燕麦、黑麦、大米和黍类等）</w:t>
      </w:r>
      <w:r>
        <w:rPr>
          <w:rFonts w:hint="eastAsia" w:ascii="Times New Roman" w:hAnsi="Times New Roman" w:eastAsia="仿宋_GB2312"/>
          <w:sz w:val="32"/>
          <w:szCs w:val="32"/>
        </w:rPr>
        <w:t>和</w:t>
      </w:r>
      <w:r>
        <w:rPr>
          <w:rFonts w:ascii="Times New Roman" w:hAnsi="Times New Roman" w:eastAsia="仿宋_GB2312"/>
          <w:sz w:val="32"/>
          <w:szCs w:val="32"/>
        </w:rPr>
        <w:t>蔬菜（豆类）等农作物上的曲霉和青霉产生的</w:t>
      </w:r>
      <w:r>
        <w:rPr>
          <w:rFonts w:hint="eastAsia" w:ascii="Times New Roman" w:hAnsi="Times New Roman" w:eastAsia="仿宋_GB2312"/>
          <w:sz w:val="32"/>
          <w:szCs w:val="32"/>
        </w:rPr>
        <w:t>，</w:t>
      </w:r>
      <w:r>
        <w:rPr>
          <w:rFonts w:ascii="Times New Roman" w:hAnsi="Times New Roman" w:eastAsia="仿宋_GB2312"/>
          <w:sz w:val="32"/>
          <w:szCs w:val="32"/>
        </w:rPr>
        <w:t>现已发现有7种曲霉和6种青霉菌能产生赭曲霉毒素A，但主要由纯绿青霉、赭曲霉和碳黑曲霉产生。赭曲霉毒素A</w:t>
      </w:r>
      <w:r>
        <w:rPr>
          <w:rFonts w:hint="eastAsia" w:ascii="Times New Roman" w:hAnsi="Times New Roman" w:eastAsia="仿宋_GB2312"/>
          <w:sz w:val="32"/>
          <w:szCs w:val="32"/>
        </w:rPr>
        <w:t>可能</w:t>
      </w:r>
      <w:r>
        <w:rPr>
          <w:rFonts w:ascii="Times New Roman" w:hAnsi="Times New Roman" w:eastAsia="仿宋_GB2312"/>
          <w:sz w:val="32"/>
          <w:szCs w:val="32"/>
        </w:rPr>
        <w:t>会导致动物肾脏中毒、肝脏中毒、胚胎畸形和免疫系统中毒。</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、苯并[a]芘</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苯并[a]芘是一种芳烃类化合物，在环境中广泛存在，具有一定致癌性、致畸性、致突变性。食用植物油中苯并[a]芘超标的原因可能是油料收储、晾晒不当，从环境、包装、机械收获、运输等过程中引入污染；生产中关键工艺控制不当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六、酒精度</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酒精度又叫酒度，反映了酒中乙醇（酒精）的含量，是酒类的品质指标之一。酒精度不合格可能是个别企业生产工艺控制不严格或检验器具不准确等因素造成。</w:t>
      </w:r>
    </w:p>
    <w:p>
      <w:pPr>
        <w:widowControl/>
        <w:spacing w:line="560" w:lineRule="exact"/>
        <w:ind w:firstLine="640" w:firstLineChars="200"/>
        <w:jc w:val="left"/>
        <w:rPr>
          <w:rFonts w:ascii="黑体" w:eastAsia="黑体"/>
          <w:sz w:val="32"/>
          <w:szCs w:val="32"/>
          <w:lang w:bidi="ar"/>
        </w:rPr>
      </w:pPr>
      <w:r>
        <w:rPr>
          <w:rFonts w:hint="eastAsia" w:ascii="黑体" w:eastAsia="黑体"/>
          <w:sz w:val="32"/>
          <w:szCs w:val="32"/>
          <w:lang w:val="en-US" w:eastAsia="zh-CN" w:bidi="ar"/>
        </w:rPr>
        <w:t>七</w:t>
      </w:r>
      <w:r>
        <w:rPr>
          <w:rFonts w:hint="eastAsia" w:ascii="黑体" w:eastAsia="黑体"/>
          <w:sz w:val="32"/>
          <w:szCs w:val="32"/>
          <w:lang w:bidi="ar"/>
        </w:rPr>
        <w:t>、氯霉素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氯霉素是一种杀菌剂，也是高效广谱的抗生素，对革兰氏阳性菌和革兰氏阴性菌均有较好的抑制作用。长期食用氯霉素残留超标的食品可能引起肠道菌群失调，导致消化机能紊乱；人体过量摄入氯霉素可引起人肝脏和骨髓造血机能的损害，导致再生障碍性贫血和血小板减少、肝损伤等健康危害。</w:t>
      </w:r>
    </w:p>
    <w:p>
      <w:pPr>
        <w:widowControl/>
        <w:spacing w:line="560" w:lineRule="exact"/>
        <w:ind w:firstLine="640" w:firstLineChars="200"/>
        <w:jc w:val="left"/>
        <w:rPr>
          <w:rFonts w:ascii="黑体" w:eastAsia="黑体"/>
          <w:sz w:val="32"/>
          <w:szCs w:val="32"/>
          <w:lang w:bidi="ar"/>
        </w:rPr>
      </w:pPr>
      <w:r>
        <w:rPr>
          <w:rFonts w:hint="eastAsia" w:ascii="黑体" w:eastAsia="黑体"/>
          <w:sz w:val="32"/>
          <w:szCs w:val="32"/>
          <w:lang w:val="en-US" w:eastAsia="zh-CN" w:bidi="ar"/>
        </w:rPr>
        <w:t>八</w:t>
      </w:r>
      <w:r>
        <w:rPr>
          <w:rFonts w:hint="eastAsia" w:ascii="黑体" w:eastAsia="黑体"/>
          <w:sz w:val="32"/>
          <w:szCs w:val="32"/>
          <w:lang w:bidi="ar"/>
        </w:rPr>
        <w:t>、氨基酸态氮</w:t>
      </w:r>
    </w:p>
    <w:p>
      <w:pPr>
        <w:widowControl/>
        <w:spacing w:line="560" w:lineRule="exact"/>
        <w:ind w:firstLine="640" w:firstLineChars="200"/>
        <w:jc w:val="left"/>
        <w:rPr>
          <w:rFonts w:ascii="仿宋_GB2312" w:eastAsia="仿宋_GB2312"/>
          <w:sz w:val="32"/>
          <w:szCs w:val="32"/>
          <w:lang w:bidi="ar"/>
        </w:rPr>
      </w:pPr>
      <w:r>
        <w:rPr>
          <w:rFonts w:hint="eastAsia" w:ascii="仿宋_GB2312" w:eastAsia="仿宋_GB2312"/>
          <w:sz w:val="32"/>
          <w:szCs w:val="32"/>
          <w:lang w:bidi="ar"/>
        </w:rPr>
        <w:t>氨基酸态氮是酱油的特征性品质指标之一。氨基酸态氮含量越高，酱油的质量越好，鲜味越浓。氨基酸态氮不合格，主要影响的是酱油</w:t>
      </w:r>
      <w:r>
        <w:rPr>
          <w:rFonts w:eastAsia="仿宋_GB2312"/>
          <w:sz w:val="32"/>
          <w:szCs w:val="32"/>
          <w:lang w:bidi="ar"/>
        </w:rPr>
        <w:t>产品的风味。氨基酸态氮含量不达标</w:t>
      </w:r>
      <w:r>
        <w:rPr>
          <w:rFonts w:hint="eastAsia" w:eastAsia="仿宋_GB2312"/>
          <w:sz w:val="32"/>
          <w:szCs w:val="32"/>
          <w:lang w:bidi="ar"/>
        </w:rPr>
        <w:t>原因包括：</w:t>
      </w:r>
      <w:r>
        <w:rPr>
          <w:rFonts w:eastAsia="仿宋_GB2312"/>
          <w:sz w:val="32"/>
          <w:szCs w:val="32"/>
          <w:lang w:bidi="ar"/>
        </w:rPr>
        <w:t>可能是企业违规标注明示值；也有可能是产</w:t>
      </w:r>
      <w:r>
        <w:rPr>
          <w:rFonts w:hint="eastAsia" w:ascii="仿宋_GB2312" w:eastAsia="仿宋_GB2312"/>
          <w:sz w:val="32"/>
          <w:szCs w:val="32"/>
          <w:lang w:bidi="ar"/>
        </w:rPr>
        <w:t>品生产工艺不符合标准要求，未达到要求发酵的时间，或产品配方缺陷的问题；还可能是酿造酱油产品本身等级较低，企业为增加销量违规标注高等级等（酿造酱油分为特级、一级、二级、三级）；还有可能存在个别企业在生产过程中为降低成本而故意掺假的情况。</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九</w:t>
      </w:r>
      <w:r>
        <w:rPr>
          <w:rFonts w:eastAsia="黑体"/>
          <w:spacing w:val="-12"/>
          <w:sz w:val="32"/>
          <w:szCs w:val="32"/>
        </w:rPr>
        <w:t>、防腐剂各自用量占其最大使用量比例之和</w:t>
      </w:r>
    </w:p>
    <w:p>
      <w:pPr>
        <w:spacing w:line="560" w:lineRule="exact"/>
        <w:ind w:firstLine="640" w:firstLineChars="200"/>
        <w:rPr>
          <w:rFonts w:eastAsia="仿宋_GB2312"/>
          <w:sz w:val="32"/>
          <w:szCs w:val="32"/>
        </w:rPr>
      </w:pPr>
      <w:r>
        <w:rPr>
          <w:rFonts w:eastAsia="仿宋_GB2312"/>
          <w:sz w:val="32"/>
          <w:szCs w:val="32"/>
        </w:rPr>
        <w:t>防腐剂是以保持食品原有品质和营养价值为目的的食品添加剂，它能抑制微生物的生长繁殖，防止食品腐败变质从而延长保质期。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、菌落总数</w:t>
      </w:r>
    </w:p>
    <w:p>
      <w:pPr>
        <w:spacing w:line="600" w:lineRule="exact"/>
        <w:ind w:firstLine="640" w:firstLineChars="200"/>
        <w:rPr>
          <w:rFonts w:hint="eastAsia" w:eastAsia="仿宋_GB2312"/>
          <w:sz w:val="32"/>
          <w:szCs w:val="32"/>
        </w:rPr>
      </w:pPr>
      <w:r>
        <w:rPr>
          <w:rFonts w:hint="eastAsia" w:ascii="仿宋_GB2312" w:hAnsi="ˎ̥" w:eastAsia="仿宋_GB2312" w:cs="Arial"/>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如果食品的菌落总数严重超标，将会破坏食品的营养成分，加速食品的腐败变质，使食品失去食用价值。</w:t>
      </w:r>
    </w:p>
    <w:p>
      <w:pPr>
        <w:spacing w:line="560" w:lineRule="exact"/>
        <w:ind w:firstLine="592" w:firstLineChars="200"/>
        <w:jc w:val="left"/>
        <w:rPr>
          <w:rFonts w:eastAsia="黑体"/>
          <w:spacing w:val="-12"/>
          <w:sz w:val="32"/>
          <w:szCs w:val="32"/>
          <w:vertAlign w:val="subscript"/>
        </w:rPr>
      </w:pPr>
      <w:r>
        <w:rPr>
          <w:rFonts w:eastAsia="黑体"/>
          <w:spacing w:val="-12"/>
          <w:sz w:val="32"/>
          <w:szCs w:val="32"/>
        </w:rPr>
        <w:t>十</w:t>
      </w:r>
      <w:r>
        <w:rPr>
          <w:rFonts w:hint="eastAsia" w:eastAsia="黑体"/>
          <w:spacing w:val="-12"/>
          <w:sz w:val="32"/>
          <w:szCs w:val="32"/>
        </w:rPr>
        <w:t>一</w:t>
      </w:r>
      <w:r>
        <w:rPr>
          <w:rFonts w:eastAsia="黑体"/>
          <w:spacing w:val="-12"/>
          <w:sz w:val="32"/>
          <w:szCs w:val="32"/>
        </w:rPr>
        <w:t>、黄曲霉毒素B</w:t>
      </w:r>
      <w:r>
        <w:rPr>
          <w:rFonts w:eastAsia="黑体"/>
          <w:spacing w:val="-12"/>
          <w:sz w:val="32"/>
          <w:szCs w:val="32"/>
          <w:vertAlign w:val="subscript"/>
        </w:rPr>
        <w:t>1</w:t>
      </w:r>
    </w:p>
    <w:p>
      <w:pPr>
        <w:spacing w:line="560" w:lineRule="exact"/>
        <w:ind w:firstLine="640" w:firstLineChars="200"/>
        <w:jc w:val="left"/>
        <w:rPr>
          <w:rFonts w:eastAsia="仿宋_GB2312"/>
          <w:sz w:val="32"/>
          <w:szCs w:val="32"/>
        </w:rPr>
      </w:pPr>
      <w:r>
        <w:rPr>
          <w:rFonts w:eastAsia="仿宋_GB2312"/>
          <w:sz w:val="32"/>
          <w:szCs w:val="32"/>
        </w:rPr>
        <w:t>黄曲霉毒素B1是黄曲霉、寄生曲霉等产生的代谢产物，黄曲霉毒素B1多在农作物因潮湿发霉变质时产生。其毒性作用主要是对肝脏的损害。若长期大量食用黄曲霉毒素B1超标的食品，可能会对人体肝脏造成损害。</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十二</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十三</w:t>
      </w:r>
      <w:r>
        <w:rPr>
          <w:rFonts w:ascii="黑体" w:hAnsi="黑体" w:eastAsia="黑体" w:cs="Times New Roman"/>
          <w:sz w:val="32"/>
          <w:szCs w:val="32"/>
        </w:rPr>
        <w:t>、溴酸盐</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w:t>
      </w:r>
      <w:bookmarkStart w:id="0" w:name="_GoBack"/>
      <w:bookmarkEnd w:id="0"/>
      <w:r>
        <w:rPr>
          <w:rFonts w:hint="eastAsia" w:ascii="Times New Roman" w:hAnsi="Times New Roman" w:eastAsia="仿宋_GB2312" w:cs="Times New Roman"/>
          <w:sz w:val="32"/>
          <w:szCs w:val="32"/>
        </w:rPr>
        <w:t>成的副产物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长期饮用溴酸盐超标的水，可能对人体造成一定伤害。</w:t>
      </w:r>
      <w:r>
        <w:rPr>
          <w:rFonts w:ascii="Times New Roman" w:hAnsi="Times New Roman" w:eastAsia="仿宋_GB2312" w:cs="Times New Roman"/>
          <w:sz w:val="32"/>
          <w:szCs w:val="32"/>
        </w:rPr>
        <w:t>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spacing w:line="560" w:lineRule="exact"/>
        <w:ind w:firstLine="640" w:firstLineChars="200"/>
        <w:rPr>
          <w:rFonts w:eastAsia="黑体"/>
          <w:sz w:val="32"/>
          <w:szCs w:val="32"/>
        </w:rPr>
      </w:pPr>
      <w:r>
        <w:rPr>
          <w:rFonts w:hint="eastAsia" w:eastAsia="黑体"/>
          <w:sz w:val="32"/>
          <w:szCs w:val="32"/>
          <w:lang w:val="en-US" w:eastAsia="zh-CN"/>
        </w:rPr>
        <w:t>十四</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w:t>
      </w:r>
      <w:r>
        <w:rPr>
          <w:rFonts w:hint="eastAsia" w:eastAsia="仿宋_GB2312"/>
          <w:sz w:val="32"/>
          <w:szCs w:val="32"/>
          <w:lang w:val="en-US" w:eastAsia="zh-CN"/>
        </w:rPr>
        <w:t>产品</w:t>
      </w:r>
      <w:r>
        <w:rPr>
          <w:rFonts w:eastAsia="仿宋_GB2312"/>
          <w:sz w:val="32"/>
          <w:szCs w:val="32"/>
        </w:rPr>
        <w:t>中油脂是否氧化变质。随着产品中油脂氧化，过氧化值会逐步升高，虽一般不会对人体的健康产生损害，但严重时会导致肠胃不适、腹泻等症状。造成过氧化值超标的原因可能是原料储存不当、生产用油变质，或者储存过程中环境条件控制不当，导致产品酸败变质。</w:t>
      </w:r>
    </w:p>
    <w:p>
      <w:pPr>
        <w:adjustRightInd w:val="0"/>
        <w:snapToGrid w:val="0"/>
        <w:spacing w:line="594" w:lineRule="exact"/>
        <w:ind w:firstLine="640" w:firstLineChars="200"/>
        <w:rPr>
          <w:rFonts w:hint="eastAsia" w:ascii="Times New Roman" w:hAnsi="Times New Roman" w:eastAsia="仿宋_GB2312" w:cs="Times New Roman"/>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2E3921"/>
    <w:rsid w:val="00425F30"/>
    <w:rsid w:val="00AE6277"/>
    <w:rsid w:val="00C81338"/>
    <w:rsid w:val="00D75458"/>
    <w:rsid w:val="01584046"/>
    <w:rsid w:val="01A17647"/>
    <w:rsid w:val="04E73D71"/>
    <w:rsid w:val="0F7C37BD"/>
    <w:rsid w:val="10D278BE"/>
    <w:rsid w:val="11E514FF"/>
    <w:rsid w:val="13322EF6"/>
    <w:rsid w:val="13335747"/>
    <w:rsid w:val="16A72B45"/>
    <w:rsid w:val="17B737AE"/>
    <w:rsid w:val="19066D18"/>
    <w:rsid w:val="19071755"/>
    <w:rsid w:val="1B8B564F"/>
    <w:rsid w:val="1DC36796"/>
    <w:rsid w:val="234F1590"/>
    <w:rsid w:val="272C5305"/>
    <w:rsid w:val="2946328C"/>
    <w:rsid w:val="2A9C4BF4"/>
    <w:rsid w:val="31456024"/>
    <w:rsid w:val="39AC322D"/>
    <w:rsid w:val="3AD727F2"/>
    <w:rsid w:val="41487A0E"/>
    <w:rsid w:val="42B7663A"/>
    <w:rsid w:val="46D10288"/>
    <w:rsid w:val="4B3A29F8"/>
    <w:rsid w:val="539A344C"/>
    <w:rsid w:val="5ACE07CC"/>
    <w:rsid w:val="5F394E3A"/>
    <w:rsid w:val="60AB1E4A"/>
    <w:rsid w:val="623E1ED1"/>
    <w:rsid w:val="63104316"/>
    <w:rsid w:val="64E9586B"/>
    <w:rsid w:val="65A64674"/>
    <w:rsid w:val="6CEB04D5"/>
    <w:rsid w:val="700026E9"/>
    <w:rsid w:val="7141509C"/>
    <w:rsid w:val="72CD6A7D"/>
    <w:rsid w:val="73A04FF4"/>
    <w:rsid w:val="740427DF"/>
    <w:rsid w:val="75502CAC"/>
    <w:rsid w:val="75C12E5F"/>
    <w:rsid w:val="788F1DEF"/>
    <w:rsid w:val="7A561CBB"/>
    <w:rsid w:val="7B2F1610"/>
    <w:rsid w:val="7B9E2DD3"/>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2</TotalTime>
  <ScaleCrop>false</ScaleCrop>
  <LinksUpToDate>false</LinksUpToDate>
  <CharactersWithSpaces>481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2020-12-17T09:19:06Z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