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FF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rPr>
          <w:rFonts w:ascii="黑体" w:hAnsi="黑体" w:eastAsia="黑体"/>
          <w:color w:val="FF0000"/>
          <w:sz w:val="32"/>
          <w:szCs w:val="32"/>
        </w:rPr>
      </w:pPr>
    </w:p>
    <w:p>
      <w:pPr>
        <w:spacing w:before="140" w:after="140" w:line="480" w:lineRule="auto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关于部分不合格检验项目的小知识</w:t>
      </w:r>
    </w:p>
    <w:p>
      <w:pPr>
        <w:spacing w:before="140" w:after="140" w:line="48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pStyle w:val="12"/>
        <w:widowControl/>
        <w:numPr>
          <w:ilvl w:val="0"/>
          <w:numId w:val="0"/>
        </w:numPr>
        <w:ind w:leftChars="0"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</w:rPr>
        <w:t>氧乐果</w:t>
      </w: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氧化乐果又名氧乐果。化学名，O,O-二甲基-S-[2-（甲胺基）-2-氧代乙基]硫代磷酸酯是我国的限用农药之一。氧化乐果对害虫和螨类有很强的触杀作用，尤其对一些已经对乐果产生抗药性地蚜虫，毒力较高，在低温期仍能保持较强的毒性。主要用于防治香蕉多种蚜虫、卷叶虫、斜纹夜蛾、花蓟马和网蝽等的良好药剂，低温期氧化乐果的杀虫作用表现比乐果快。氧化乐果还有很强的内吸杀虫作用，可以被植株的茎、叶吸进植株体内，并可传送到未喷到药液部，而使在上面危害的害虫中毒死亡。因此，在使用氧化乐果时，可以采用涂茎的方法施药。一般情况下，温度的高低对氧化乐果药效的影响较小。氧化乐果属于高毒农药，但它不易从皮肤渗透进入人体，与乐果的接触毒性差异不大。</w:t>
      </w:r>
    </w:p>
    <w:p>
      <w:pPr>
        <w:pStyle w:val="12"/>
        <w:widowControl/>
        <w:numPr>
          <w:ilvl w:val="0"/>
          <w:numId w:val="0"/>
        </w:numPr>
        <w:ind w:leftChars="0"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二、</w:t>
      </w: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腐霉利</w:t>
      </w:r>
    </w:p>
    <w:p>
      <w:pPr>
        <w:pStyle w:val="12"/>
        <w:widowControl/>
        <w:ind w:firstLine="64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腐霉利又名速克灵、杀霉利、二甲菌核利、速克灵、黑灰净、必克灵、消霉灵。腐霉利具有内吸性杀真菌剂，对葡萄孢属和核盘菌属真菌有特效，能防治果树、蔬菜作物的灰霉病、菌核病，对苯丙咪唑产生抗性的真菌同样具有效果。腐霉利被用于果树、蔬菜、花卉等的菌核病、灰霉病、黑星病、褐腐病、大斑病的防治。</w:t>
      </w:r>
    </w:p>
    <w:p>
      <w:pPr>
        <w:pStyle w:val="12"/>
        <w:widowControl/>
        <w:numPr>
          <w:numId w:val="0"/>
        </w:numPr>
        <w:ind w:leftChars="0"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kern w:val="0"/>
          <w:sz w:val="32"/>
          <w:szCs w:val="32"/>
        </w:rPr>
        <w:t>氯霉素</w:t>
      </w:r>
    </w:p>
    <w:p>
      <w:pPr>
        <w:pStyle w:val="12"/>
        <w:widowControl/>
        <w:ind w:firstLine="64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氯霉素是一种杀菌剂，也是高效广谱的抗生素，对革兰氏阳性菌和革兰氏阴性菌均有较好的抑制作用。长期食用氯霉素残留超标的食品可能引起肠道菌群失调，导致消化机能紊乱；人体过量摄入氯霉素可引起人肝脏和骨髓造血机能的损害，导致再生障碍性贫血和血小板减少、肝损伤等健康危害。</w:t>
      </w:r>
    </w:p>
    <w:p>
      <w:pP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A7E36"/>
    <w:rsid w:val="00007B3B"/>
    <w:rsid w:val="00134C4A"/>
    <w:rsid w:val="001B6D3F"/>
    <w:rsid w:val="002E1677"/>
    <w:rsid w:val="00350CC2"/>
    <w:rsid w:val="00563854"/>
    <w:rsid w:val="005B6AAE"/>
    <w:rsid w:val="008701FA"/>
    <w:rsid w:val="00A414F5"/>
    <w:rsid w:val="00A44B9B"/>
    <w:rsid w:val="00A86C34"/>
    <w:rsid w:val="00D761C9"/>
    <w:rsid w:val="00DA7E36"/>
    <w:rsid w:val="00EF1189"/>
    <w:rsid w:val="028B4EFC"/>
    <w:rsid w:val="055F092C"/>
    <w:rsid w:val="05B77019"/>
    <w:rsid w:val="05D56BFF"/>
    <w:rsid w:val="09AA0280"/>
    <w:rsid w:val="0F615AEB"/>
    <w:rsid w:val="10C8728E"/>
    <w:rsid w:val="11862021"/>
    <w:rsid w:val="19DD4729"/>
    <w:rsid w:val="1B6A31A0"/>
    <w:rsid w:val="20DC6338"/>
    <w:rsid w:val="23921B40"/>
    <w:rsid w:val="247352E0"/>
    <w:rsid w:val="24C85C25"/>
    <w:rsid w:val="25EB5E95"/>
    <w:rsid w:val="268B572A"/>
    <w:rsid w:val="2C1B16CB"/>
    <w:rsid w:val="2D006C3A"/>
    <w:rsid w:val="2FAE5A09"/>
    <w:rsid w:val="302760AF"/>
    <w:rsid w:val="39C66D6D"/>
    <w:rsid w:val="3CE16508"/>
    <w:rsid w:val="45567A8D"/>
    <w:rsid w:val="47607C54"/>
    <w:rsid w:val="4CFD162E"/>
    <w:rsid w:val="4D390E49"/>
    <w:rsid w:val="4E257E3E"/>
    <w:rsid w:val="4F9A3C7D"/>
    <w:rsid w:val="4FD0022A"/>
    <w:rsid w:val="501910C8"/>
    <w:rsid w:val="53791738"/>
    <w:rsid w:val="53E76EEA"/>
    <w:rsid w:val="595C1525"/>
    <w:rsid w:val="59B573DC"/>
    <w:rsid w:val="642B0407"/>
    <w:rsid w:val="6BDF4AC3"/>
    <w:rsid w:val="6DCA7D33"/>
    <w:rsid w:val="70545421"/>
    <w:rsid w:val="70E5696D"/>
    <w:rsid w:val="71912C8B"/>
    <w:rsid w:val="726835EC"/>
    <w:rsid w:val="73E2477D"/>
    <w:rsid w:val="76856093"/>
    <w:rsid w:val="79CB5965"/>
    <w:rsid w:val="7A121FBF"/>
    <w:rsid w:val="7B744E6E"/>
    <w:rsid w:val="7E8B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1788"/>
      <w:outlineLvl w:val="1"/>
    </w:pPr>
    <w:rPr>
      <w:rFonts w:ascii="仿宋" w:hAnsi="仿宋" w:eastAsia="仿宋"/>
      <w:b/>
      <w:bCs/>
      <w:sz w:val="28"/>
      <w:szCs w:val="28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 w:firstLine="559"/>
    </w:pPr>
    <w:rPr>
      <w:rFonts w:ascii="仿宋" w:hAnsi="仿宋" w:eastAsia="仿宋"/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PingFang SC" w:hAnsi="PingFang SC" w:eastAsia="PingFang SC"/>
      <w:kern w:val="0"/>
      <w:sz w:val="24"/>
      <w:szCs w:val="24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693</Characters>
  <Lines>5</Lines>
  <Paragraphs>1</Paragraphs>
  <TotalTime>0</TotalTime>
  <ScaleCrop>false</ScaleCrop>
  <LinksUpToDate>false</LinksUpToDate>
  <CharactersWithSpaces>813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┢┦aΡｐy尒囡ふ</cp:lastModifiedBy>
  <dcterms:modified xsi:type="dcterms:W3CDTF">2020-11-27T02:01:59Z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