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kern w:val="0"/>
          <w:sz w:val="24"/>
        </w:rPr>
      </w:pPr>
    </w:p>
    <w:p>
      <w:pPr>
        <w:spacing w:line="440" w:lineRule="exact"/>
        <w:rPr>
          <w:rFonts w:ascii="仿宋" w:hAnsi="仿宋" w:eastAsia="仿宋" w:cs="仿宋"/>
          <w:bCs/>
          <w:sz w:val="32"/>
          <w:szCs w:val="32"/>
        </w:rPr>
      </w:pPr>
      <w:r>
        <w:rPr>
          <w:rFonts w:hint="eastAsia" w:ascii="仿宋" w:hAnsi="仿宋" w:eastAsia="仿宋" w:cs="仿宋"/>
          <w:bCs/>
          <w:sz w:val="32"/>
          <w:szCs w:val="32"/>
        </w:rPr>
        <w:t>附件1</w:t>
      </w:r>
    </w:p>
    <w:p>
      <w:pPr>
        <w:spacing w:line="520" w:lineRule="exact"/>
        <w:jc w:val="center"/>
        <w:rPr>
          <w:rStyle w:val="15"/>
          <w:rFonts w:ascii="仿宋" w:hAnsi="仿宋" w:eastAsia="仿宋" w:cs="仿宋"/>
          <w:b w:val="0"/>
          <w:sz w:val="44"/>
          <w:szCs w:val="44"/>
        </w:rPr>
      </w:pPr>
      <w:r>
        <w:rPr>
          <w:rStyle w:val="15"/>
          <w:rFonts w:hint="eastAsia" w:ascii="仿宋" w:hAnsi="仿宋" w:eastAsia="仿宋" w:cs="仿宋"/>
          <w:b w:val="0"/>
          <w:sz w:val="44"/>
          <w:szCs w:val="44"/>
        </w:rPr>
        <w:t>本次检验项目</w:t>
      </w:r>
    </w:p>
    <w:p>
      <w:pPr>
        <w:spacing w:line="440" w:lineRule="exact"/>
        <w:ind w:firstLine="640"/>
        <w:rPr>
          <w:rFonts w:ascii="仿宋" w:hAnsi="仿宋" w:eastAsia="仿宋" w:cs="仿宋"/>
          <w:sz w:val="32"/>
          <w:szCs w:val="32"/>
        </w:rPr>
      </w:pPr>
      <w:r>
        <w:rPr>
          <w:rFonts w:hint="eastAsia" w:ascii="仿宋" w:hAnsi="仿宋" w:eastAsia="仿宋" w:cs="仿宋"/>
          <w:b/>
          <w:sz w:val="32"/>
          <w:szCs w:val="32"/>
        </w:rPr>
        <w:t xml:space="preserve"> </w:t>
      </w:r>
    </w:p>
    <w:p>
      <w:pPr>
        <w:spacing w:line="440" w:lineRule="exact"/>
        <w:ind w:firstLine="321" w:firstLineChars="100"/>
        <w:rPr>
          <w:rFonts w:ascii="仿宋" w:hAnsi="仿宋" w:eastAsia="仿宋" w:cs="仿宋"/>
          <w:b/>
          <w:sz w:val="32"/>
          <w:szCs w:val="32"/>
        </w:rPr>
      </w:pPr>
      <w:r>
        <w:rPr>
          <w:rFonts w:hint="eastAsia" w:ascii="仿宋" w:hAnsi="仿宋" w:eastAsia="仿宋" w:cs="仿宋"/>
          <w:b/>
          <w:sz w:val="32"/>
          <w:szCs w:val="32"/>
        </w:rPr>
        <w:t>一、食用油、油脂及其制品</w:t>
      </w:r>
    </w:p>
    <w:p>
      <w:pPr>
        <w:spacing w:line="440" w:lineRule="exact"/>
        <w:ind w:firstLine="643" w:firstLineChars="200"/>
        <w:jc w:val="left"/>
        <w:rPr>
          <w:rFonts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 xml:space="preserve">抽检依据 </w:t>
      </w:r>
    </w:p>
    <w:p>
      <w:pPr>
        <w:spacing w:line="440" w:lineRule="exact"/>
        <w:ind w:firstLine="640" w:firstLineChars="200"/>
        <w:rPr>
          <w:rFonts w:ascii="仿宋" w:hAnsi="仿宋" w:cs="仿宋"/>
          <w:b/>
          <w:sz w:val="32"/>
          <w:szCs w:val="32"/>
        </w:rPr>
      </w:pPr>
      <w:r>
        <w:rPr>
          <w:rFonts w:hint="eastAsia" w:ascii="仿宋" w:hAnsi="仿宋" w:eastAsia="仿宋" w:cs="仿宋"/>
          <w:sz w:val="32"/>
          <w:szCs w:val="32"/>
        </w:rPr>
        <w:t xml:space="preserve">抽检依据《食品安全国家标准 </w:t>
      </w:r>
      <w:r>
        <w:rPr>
          <w:rFonts w:hint="eastAsia" w:ascii="仿宋" w:hAnsi="仿宋" w:eastAsia="仿宋" w:cs="仿宋"/>
          <w:color w:val="333333"/>
          <w:sz w:val="32"/>
          <w:szCs w:val="32"/>
          <w:shd w:val="clear" w:color="auto" w:fill="FFFFFF"/>
        </w:rPr>
        <w:t>植物油</w:t>
      </w:r>
      <w:r>
        <w:rPr>
          <w:rFonts w:hint="eastAsia" w:ascii="仿宋" w:hAnsi="仿宋" w:eastAsia="仿宋" w:cs="仿宋"/>
          <w:sz w:val="32"/>
          <w:szCs w:val="32"/>
        </w:rPr>
        <w:t>》（</w:t>
      </w:r>
      <w:r>
        <w:rPr>
          <w:rFonts w:hint="eastAsia" w:ascii="仿宋" w:hAnsi="仿宋" w:eastAsia="仿宋" w:cs="仿宋"/>
          <w:color w:val="333333"/>
          <w:sz w:val="32"/>
          <w:szCs w:val="32"/>
          <w:shd w:val="clear" w:color="auto" w:fill="FFFFFF"/>
        </w:rPr>
        <w:t>GB 2716-2018）、</w:t>
      </w:r>
      <w:r>
        <w:rPr>
          <w:rFonts w:hint="eastAsia" w:ascii="仿宋" w:hAnsi="仿宋" w:eastAsia="仿宋" w:cs="仿宋"/>
          <w:sz w:val="32"/>
          <w:szCs w:val="32"/>
        </w:rPr>
        <w:t>《</w:t>
      </w:r>
      <w:r>
        <w:rPr>
          <w:rFonts w:hint="eastAsia" w:ascii="仿宋" w:hAnsi="仿宋" w:eastAsia="仿宋" w:cs="仿宋"/>
          <w:color w:val="333333"/>
          <w:sz w:val="32"/>
          <w:szCs w:val="32"/>
          <w:shd w:val="clear" w:color="auto" w:fill="FFFFFF"/>
        </w:rPr>
        <w:t>花生油</w:t>
      </w:r>
      <w:r>
        <w:rPr>
          <w:rFonts w:hint="eastAsia" w:ascii="仿宋" w:hAnsi="仿宋" w:eastAsia="仿宋" w:cs="仿宋"/>
          <w:sz w:val="32"/>
          <w:szCs w:val="32"/>
        </w:rPr>
        <w:t>》（</w:t>
      </w:r>
      <w:r>
        <w:rPr>
          <w:rFonts w:hint="eastAsia" w:ascii="仿宋" w:hAnsi="仿宋" w:eastAsia="仿宋" w:cs="仿宋"/>
          <w:color w:val="333333"/>
          <w:sz w:val="32"/>
          <w:szCs w:val="32"/>
          <w:shd w:val="clear" w:color="auto" w:fill="FFFFFF"/>
        </w:rPr>
        <w:t>GB/T 1534-2017）、</w:t>
      </w:r>
      <w:r>
        <w:rPr>
          <w:rFonts w:hint="eastAsia" w:ascii="仿宋" w:hAnsi="仿宋" w:eastAsia="仿宋" w:cs="仿宋"/>
          <w:sz w:val="32"/>
          <w:szCs w:val="32"/>
        </w:rPr>
        <w:t xml:space="preserve">《食品安全国家标准 </w:t>
      </w:r>
      <w:r>
        <w:rPr>
          <w:rFonts w:ascii="Verdana" w:hAnsi="Verdana" w:cs="Verdana"/>
          <w:color w:val="333333"/>
          <w:sz w:val="30"/>
          <w:szCs w:val="30"/>
          <w:shd w:val="clear" w:color="auto" w:fill="FFFFFF"/>
        </w:rPr>
        <w:t>食品添加剂使用标准</w:t>
      </w:r>
      <w:r>
        <w:rPr>
          <w:rFonts w:hint="eastAsia" w:ascii="仿宋" w:hAnsi="仿宋" w:eastAsia="仿宋" w:cs="仿宋"/>
          <w:sz w:val="32"/>
          <w:szCs w:val="32"/>
        </w:rPr>
        <w:t>》（GB 2760-2014）</w:t>
      </w:r>
      <w:r>
        <w:rPr>
          <w:rFonts w:hint="eastAsia" w:ascii="仿宋" w:hAnsi="仿宋" w:eastAsia="仿宋" w:cs="仿宋"/>
          <w:color w:val="333333"/>
          <w:sz w:val="32"/>
          <w:szCs w:val="32"/>
          <w:shd w:val="clear" w:color="auto" w:fill="FFFFFF"/>
        </w:rPr>
        <w:t>。</w:t>
      </w:r>
    </w:p>
    <w:p>
      <w:pPr>
        <w:spacing w:line="440" w:lineRule="exact"/>
        <w:ind w:firstLine="640"/>
        <w:rPr>
          <w:rFonts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1.食用植物调和油抽检项目包括苯并[α]芘、过氧化值、溶剂残留量、酸价(KOH)、特丁基对苯二酚（TBHQ）、乙基麦芽酚。</w:t>
      </w:r>
    </w:p>
    <w:p>
      <w:pPr>
        <w:spacing w:line="440" w:lineRule="exact"/>
        <w:ind w:firstLine="321" w:firstLineChars="100"/>
        <w:rPr>
          <w:rFonts w:ascii="仿宋" w:hAnsi="仿宋" w:eastAsia="仿宋" w:cs="仿宋"/>
          <w:b/>
          <w:sz w:val="32"/>
          <w:szCs w:val="32"/>
        </w:rPr>
      </w:pPr>
      <w:r>
        <w:rPr>
          <w:rFonts w:hint="eastAsia" w:ascii="仿宋" w:hAnsi="仿宋" w:eastAsia="仿宋" w:cs="仿宋"/>
          <w:b/>
          <w:sz w:val="32"/>
          <w:szCs w:val="32"/>
          <w:lang w:eastAsia="zh-CN"/>
        </w:rPr>
        <w:t>二</w:t>
      </w:r>
      <w:r>
        <w:rPr>
          <w:rFonts w:hint="eastAsia" w:ascii="仿宋" w:hAnsi="仿宋" w:eastAsia="仿宋" w:cs="仿宋"/>
          <w:b/>
          <w:sz w:val="32"/>
          <w:szCs w:val="32"/>
        </w:rPr>
        <w:t>、调味品</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抽检依据</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抽检依据《食品安全国家标准 </w:t>
      </w:r>
      <w:r>
        <w:rPr>
          <w:rFonts w:ascii="Verdana" w:hAnsi="Verdana" w:cs="Verdana"/>
          <w:color w:val="333333"/>
          <w:sz w:val="30"/>
          <w:szCs w:val="30"/>
          <w:shd w:val="clear" w:color="auto" w:fill="FFFFFF"/>
        </w:rPr>
        <w:t>食品添加剂使用标准</w:t>
      </w:r>
      <w:r>
        <w:rPr>
          <w:rFonts w:hint="eastAsia" w:ascii="仿宋" w:hAnsi="仿宋" w:eastAsia="仿宋" w:cs="仿宋"/>
          <w:sz w:val="32"/>
          <w:szCs w:val="32"/>
        </w:rPr>
        <w:t>》（GB 2760-2014）、食品整治办〔2008〕 3 号。</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642"/>
        <w:rPr>
          <w:rFonts w:ascii="仿宋" w:hAnsi="仿宋" w:eastAsia="仿宋" w:cs="仿宋"/>
          <w:sz w:val="32"/>
          <w:szCs w:val="32"/>
        </w:rPr>
      </w:pPr>
      <w:r>
        <w:rPr>
          <w:rFonts w:hint="eastAsia" w:ascii="仿宋" w:hAnsi="仿宋" w:eastAsia="仿宋" w:cs="仿宋"/>
          <w:sz w:val="32"/>
          <w:szCs w:val="32"/>
        </w:rPr>
        <w:t>1.辣椒酱抽检项目包括苯甲酸及其钠盐（以苯甲酸计）、防腐剂混合使用时各自用量占其最大使用量的比例之和、山梨酸及其钾盐（以山梨酸计）、糖精钠（以糖精计）、甜蜜素（以环己基氨基磺酸计）、脱氢乙酸及其钠盐（以脱氢乙酸计）。</w:t>
      </w:r>
    </w:p>
    <w:p>
      <w:pPr>
        <w:spacing w:line="440" w:lineRule="exact"/>
        <w:ind w:firstLine="642"/>
        <w:rPr>
          <w:rFonts w:hint="eastAsia" w:ascii="仿宋" w:hAnsi="仿宋" w:eastAsia="仿宋" w:cs="仿宋"/>
          <w:sz w:val="32"/>
          <w:szCs w:val="32"/>
        </w:rPr>
      </w:pPr>
      <w:r>
        <w:rPr>
          <w:rFonts w:hint="eastAsia" w:ascii="仿宋" w:hAnsi="仿宋" w:eastAsia="仿宋" w:cs="仿宋"/>
          <w:sz w:val="32"/>
          <w:szCs w:val="32"/>
        </w:rPr>
        <w:t>2.其他半固体调味料抽检项目包括苯甲酸及其钠盐（以苯甲酸计）、罗丹明B、糖精钠（以糖精计）、甜蜜素（以环己基氨基磺酸计）、脱氢乙酸及其钠盐（以脱氢乙酸计）。</w:t>
      </w:r>
    </w:p>
    <w:p>
      <w:pPr>
        <w:spacing w:line="440" w:lineRule="exact"/>
        <w:rPr>
          <w:rFonts w:ascii="仿宋" w:hAnsi="仿宋" w:eastAsia="仿宋" w:cs="仿宋"/>
          <w:b/>
          <w:bCs/>
          <w:sz w:val="32"/>
          <w:szCs w:val="32"/>
        </w:rPr>
      </w:pPr>
      <w:r>
        <w:rPr>
          <w:rFonts w:hint="eastAsia" w:ascii="仿宋" w:hAnsi="仿宋" w:eastAsia="仿宋" w:cs="仿宋"/>
          <w:b/>
          <w:sz w:val="32"/>
          <w:szCs w:val="32"/>
          <w:lang w:eastAsia="zh-CN"/>
        </w:rPr>
        <w:t>三</w:t>
      </w:r>
      <w:r>
        <w:rPr>
          <w:rFonts w:hint="eastAsia" w:ascii="仿宋" w:hAnsi="仿宋" w:eastAsia="仿宋" w:cs="仿宋"/>
          <w:b/>
          <w:bCs/>
          <w:sz w:val="32"/>
          <w:szCs w:val="32"/>
        </w:rPr>
        <w:t>、方便食品</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抽检依据</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抽检依据《</w:t>
      </w:r>
      <w:r>
        <w:rPr>
          <w:color w:val="333333"/>
          <w:sz w:val="30"/>
          <w:szCs w:val="30"/>
        </w:rPr>
        <w:t>食品安全国家标准 方便面</w:t>
      </w:r>
      <w:r>
        <w:rPr>
          <w:rFonts w:hint="eastAsia" w:ascii="仿宋" w:hAnsi="仿宋" w:eastAsia="仿宋" w:cs="仿宋"/>
          <w:sz w:val="32"/>
          <w:szCs w:val="32"/>
        </w:rPr>
        <w:t>》（</w:t>
      </w:r>
      <w:r>
        <w:rPr>
          <w:rFonts w:ascii="仿宋" w:hAnsi="仿宋" w:eastAsia="仿宋" w:cs="仿宋"/>
          <w:sz w:val="32"/>
          <w:szCs w:val="32"/>
        </w:rPr>
        <w:t>GB 17400-2015</w:t>
      </w:r>
      <w:r>
        <w:rPr>
          <w:rFonts w:hint="eastAsia" w:ascii="仿宋" w:hAnsi="仿宋" w:eastAsia="仿宋" w:cs="仿宋"/>
          <w:sz w:val="32"/>
          <w:szCs w:val="32"/>
        </w:rPr>
        <w:t xml:space="preserve">）、《食品安全国家标准 </w:t>
      </w:r>
      <w:r>
        <w:rPr>
          <w:rFonts w:ascii="Verdana" w:hAnsi="Verdana" w:cs="Verdana"/>
          <w:color w:val="333333"/>
          <w:sz w:val="30"/>
          <w:szCs w:val="30"/>
          <w:shd w:val="clear" w:color="auto" w:fill="FFFFFF"/>
        </w:rPr>
        <w:t>食品添加剂使用标准</w:t>
      </w:r>
      <w:r>
        <w:rPr>
          <w:rFonts w:hint="eastAsia" w:ascii="仿宋" w:hAnsi="仿宋" w:eastAsia="仿宋" w:cs="仿宋"/>
          <w:sz w:val="32"/>
          <w:szCs w:val="32"/>
        </w:rPr>
        <w:t>》（GB 2760-2014）、《</w:t>
      </w:r>
      <w:r>
        <w:rPr>
          <w:color w:val="333333"/>
          <w:sz w:val="30"/>
          <w:szCs w:val="30"/>
        </w:rPr>
        <w:t>食品安全国家标准 食品中致病菌限量</w:t>
      </w:r>
      <w:r>
        <w:rPr>
          <w:rFonts w:hint="eastAsia" w:ascii="仿宋" w:hAnsi="仿宋" w:eastAsia="仿宋" w:cs="仿宋"/>
          <w:sz w:val="32"/>
          <w:szCs w:val="32"/>
        </w:rPr>
        <w:t>》（</w:t>
      </w:r>
      <w:r>
        <w:rPr>
          <w:rFonts w:ascii="仿宋" w:hAnsi="仿宋" w:eastAsia="仿宋" w:cs="仿宋"/>
          <w:sz w:val="32"/>
          <w:szCs w:val="32"/>
        </w:rPr>
        <w:t>GB 29921-2013</w:t>
      </w:r>
      <w:r>
        <w:rPr>
          <w:rFonts w:hint="eastAsia" w:ascii="仿宋" w:hAnsi="仿宋" w:eastAsia="仿宋" w:cs="仿宋"/>
          <w:sz w:val="32"/>
          <w:szCs w:val="32"/>
        </w:rPr>
        <w:t>）及产品明示标准等。</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w:t>
      </w:r>
      <w:r>
        <w:rPr>
          <w:rFonts w:hint="eastAsia"/>
        </w:rPr>
        <w:t xml:space="preserve"> </w:t>
      </w:r>
      <w:r>
        <w:rPr>
          <w:rFonts w:hint="eastAsia" w:ascii="仿宋" w:hAnsi="仿宋" w:eastAsia="仿宋" w:cs="仿宋"/>
          <w:sz w:val="32"/>
          <w:szCs w:val="32"/>
        </w:rPr>
        <w:t>调味面制品抽检项目包括苯甲酸及其钠盐（以苯甲酸计）、大肠菌群(n=5)、过氧化值（以脂肪计）、金黄色葡萄球菌（n=5）、菌落总数(n=5)、霉菌、沙门氏菌（n=5）、山梨酸及其钾盐（以山梨酸计）、酸价（以脂肪计）（KOH）、脱氢乙酸及其钠盐（以脱氢乙酸计）。</w:t>
      </w:r>
    </w:p>
    <w:p>
      <w:pPr>
        <w:spacing w:line="44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2、油炸面、非油炸面、方便米粉（米线）、方便粉丝抽检项目包括大肠菌群(n=5)、过氧化值（以脂肪计）、菌落总数(n=5)、酸价（以脂肪计）（KOH）。</w:t>
      </w:r>
    </w:p>
    <w:p>
      <w:pPr>
        <w:spacing w:line="440" w:lineRule="exact"/>
        <w:rPr>
          <w:rFonts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、酒类</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抽检依据</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抽检依据《</w:t>
      </w:r>
      <w:r>
        <w:rPr>
          <w:rFonts w:hint="eastAsia" w:ascii="仿宋" w:hAnsi="仿宋" w:eastAsia="仿宋" w:cs="仿宋"/>
          <w:color w:val="333333"/>
          <w:sz w:val="32"/>
          <w:szCs w:val="32"/>
          <w:shd w:val="clear" w:color="auto" w:fill="FFFFFF"/>
        </w:rPr>
        <w:t>食品安全国家标准 露酒</w:t>
      </w:r>
      <w:r>
        <w:rPr>
          <w:rFonts w:hint="eastAsia" w:ascii="仿宋" w:hAnsi="仿宋" w:eastAsia="仿宋" w:cs="仿宋"/>
          <w:sz w:val="32"/>
          <w:szCs w:val="32"/>
        </w:rPr>
        <w:t xml:space="preserve">》（GB/T27588-2011）、《食品安全国家标准 </w:t>
      </w:r>
      <w:r>
        <w:rPr>
          <w:rFonts w:ascii="Verdana" w:hAnsi="Verdana" w:cs="Verdana"/>
          <w:color w:val="333333"/>
          <w:sz w:val="30"/>
          <w:szCs w:val="30"/>
          <w:shd w:val="clear" w:color="auto" w:fill="FFFFFF"/>
        </w:rPr>
        <w:t>食品添加剂使用标准</w:t>
      </w:r>
      <w:r>
        <w:rPr>
          <w:rFonts w:hint="eastAsia" w:ascii="仿宋" w:hAnsi="仿宋" w:eastAsia="仿宋" w:cs="仿宋"/>
          <w:sz w:val="32"/>
          <w:szCs w:val="32"/>
        </w:rPr>
        <w:t>》（GB 2760-2014）、《</w:t>
      </w:r>
      <w:r>
        <w:rPr>
          <w:rFonts w:hint="eastAsia" w:ascii="仿宋" w:hAnsi="仿宋" w:eastAsia="仿宋" w:cs="仿宋"/>
          <w:color w:val="333333"/>
          <w:sz w:val="32"/>
          <w:szCs w:val="32"/>
          <w:shd w:val="clear" w:color="auto" w:fill="FFFFFF"/>
        </w:rPr>
        <w:t>中华人民共和国国家标准 葡萄酒</w:t>
      </w:r>
      <w:r>
        <w:rPr>
          <w:rFonts w:hint="eastAsia" w:ascii="仿宋" w:hAnsi="仿宋" w:eastAsia="仿宋" w:cs="仿宋"/>
          <w:sz w:val="32"/>
          <w:szCs w:val="32"/>
        </w:rPr>
        <w:t>》（GB/T15037-2006）、《</w:t>
      </w:r>
      <w:r>
        <w:rPr>
          <w:color w:val="333333"/>
          <w:sz w:val="30"/>
          <w:szCs w:val="30"/>
        </w:rPr>
        <w:t>食品安全国家标准 蒸馏酒及其配制酒</w:t>
      </w:r>
      <w:r>
        <w:rPr>
          <w:rFonts w:hint="eastAsia" w:ascii="仿宋" w:hAnsi="仿宋" w:eastAsia="仿宋" w:cs="仿宋"/>
          <w:sz w:val="32"/>
          <w:szCs w:val="32"/>
        </w:rPr>
        <w:t>》（</w:t>
      </w:r>
      <w:r>
        <w:rPr>
          <w:rFonts w:ascii="仿宋" w:hAnsi="仿宋" w:eastAsia="仿宋" w:cs="仿宋"/>
          <w:sz w:val="32"/>
          <w:szCs w:val="32"/>
        </w:rPr>
        <w:t>GB 2757-2012</w:t>
      </w:r>
      <w:r>
        <w:rPr>
          <w:rFonts w:hint="eastAsia" w:ascii="仿宋" w:hAnsi="仿宋" w:eastAsia="仿宋" w:cs="仿宋"/>
          <w:sz w:val="32"/>
          <w:szCs w:val="32"/>
        </w:rPr>
        <w:t>）、《</w:t>
      </w:r>
      <w:r>
        <w:rPr>
          <w:color w:val="333333"/>
          <w:sz w:val="30"/>
          <w:szCs w:val="30"/>
        </w:rPr>
        <w:t>浓香型白酒</w:t>
      </w:r>
      <w:r>
        <w:rPr>
          <w:rFonts w:hint="eastAsia" w:ascii="仿宋" w:hAnsi="仿宋" w:eastAsia="仿宋" w:cs="仿宋"/>
          <w:sz w:val="32"/>
          <w:szCs w:val="32"/>
        </w:rPr>
        <w:t>》（</w:t>
      </w:r>
      <w:r>
        <w:rPr>
          <w:rFonts w:ascii="仿宋" w:hAnsi="仿宋" w:eastAsia="仿宋" w:cs="仿宋"/>
          <w:sz w:val="32"/>
          <w:szCs w:val="32"/>
        </w:rPr>
        <w:t>GB/T 10781.1-2006</w:t>
      </w:r>
      <w:r>
        <w:rPr>
          <w:rFonts w:hint="eastAsia" w:ascii="仿宋" w:hAnsi="仿宋" w:eastAsia="仿宋" w:cs="仿宋"/>
          <w:sz w:val="32"/>
          <w:szCs w:val="32"/>
        </w:rPr>
        <w:t>）、《</w:t>
      </w:r>
      <w:r>
        <w:rPr>
          <w:color w:val="333333"/>
          <w:sz w:val="30"/>
          <w:szCs w:val="30"/>
        </w:rPr>
        <w:t>固液法白酒</w:t>
      </w:r>
      <w:r>
        <w:rPr>
          <w:rFonts w:hint="eastAsia" w:ascii="仿宋" w:hAnsi="仿宋" w:eastAsia="仿宋" w:cs="仿宋"/>
          <w:sz w:val="32"/>
          <w:szCs w:val="32"/>
        </w:rPr>
        <w:t>》（</w:t>
      </w:r>
      <w:r>
        <w:rPr>
          <w:rFonts w:ascii="仿宋" w:hAnsi="仿宋" w:eastAsia="仿宋" w:cs="仿宋"/>
          <w:sz w:val="32"/>
          <w:szCs w:val="32"/>
        </w:rPr>
        <w:t>GB/T 20822-2007</w:t>
      </w:r>
      <w:r>
        <w:rPr>
          <w:rFonts w:hint="eastAsia" w:ascii="仿宋" w:hAnsi="仿宋" w:eastAsia="仿宋" w:cs="仿宋"/>
          <w:sz w:val="32"/>
          <w:szCs w:val="32"/>
        </w:rPr>
        <w:t>）、《山葡萄酒》（</w:t>
      </w:r>
      <w:r>
        <w:rPr>
          <w:rFonts w:ascii="仿宋" w:hAnsi="仿宋" w:eastAsia="仿宋" w:cs="仿宋"/>
          <w:sz w:val="32"/>
          <w:szCs w:val="32"/>
        </w:rPr>
        <w:t>GB/T27586-2011</w:t>
      </w:r>
      <w:r>
        <w:rPr>
          <w:rFonts w:hint="eastAsia" w:ascii="仿宋" w:hAnsi="仿宋" w:eastAsia="仿宋" w:cs="仿宋"/>
          <w:sz w:val="32"/>
          <w:szCs w:val="32"/>
        </w:rPr>
        <w:t>）及产品明示标准等。</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1.白酒抽检项目包括甲醇、酒精度(乙醇浓度)、邻苯二甲酸二（2-乙基）己酯（DEHP）、邻苯二甲酸二正丁酯（DBP）、氰化物（以HCN计）、糖精钠（以糖精计）、甜蜜素（以环己基氨基磺酸计）。</w:t>
      </w:r>
    </w:p>
    <w:p>
      <w:pPr>
        <w:spacing w:line="44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以发酵酒为酒基的配制酒抽检项目包括二氧化硫残留量、甲醇、酒精度(乙醇浓度)、氰化物（以HCN计）、糖精钠（以糖精计）、甜蜜素（以环己基氨基磺酸计）。</w:t>
      </w:r>
    </w:p>
    <w:p>
      <w:pPr>
        <w:spacing w:line="44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以蒸馏酒及食用酒精为酒基的配制酒的抽检项目包括二氧化硫残留量、甲醇、酒精度(乙醇浓度)、氰化物（以HCN计）、糖精钠（以糖精计）、甜蜜素（以环己基氨基磺酸计）。</w:t>
      </w:r>
    </w:p>
    <w:p>
      <w:pPr>
        <w:spacing w:line="440" w:lineRule="exact"/>
        <w:rPr>
          <w:rFonts w:ascii="仿宋" w:hAnsi="仿宋" w:eastAsia="仿宋" w:cs="仿宋"/>
          <w:b/>
          <w:bCs/>
          <w:sz w:val="32"/>
          <w:szCs w:val="32"/>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、蔬菜制品</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抽检依据</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抽检依据《食品安全国家标准 </w:t>
      </w:r>
      <w:r>
        <w:rPr>
          <w:rFonts w:ascii="Verdana" w:hAnsi="Verdana" w:cs="Verdana"/>
          <w:color w:val="333333"/>
          <w:sz w:val="30"/>
          <w:szCs w:val="30"/>
          <w:shd w:val="clear" w:color="auto" w:fill="FFFFFF"/>
        </w:rPr>
        <w:t>食品添加剂使用标准</w:t>
      </w:r>
      <w:r>
        <w:rPr>
          <w:rFonts w:hint="eastAsia" w:ascii="仿宋" w:hAnsi="仿宋" w:eastAsia="仿宋" w:cs="仿宋"/>
          <w:sz w:val="32"/>
          <w:szCs w:val="32"/>
        </w:rPr>
        <w:t>》（GB 2760-2014）、《</w:t>
      </w:r>
      <w:r>
        <w:rPr>
          <w:color w:val="333333"/>
          <w:sz w:val="30"/>
          <w:szCs w:val="30"/>
        </w:rPr>
        <w:t>食品安全国家标准 食品中污染物限量</w:t>
      </w:r>
      <w:r>
        <w:rPr>
          <w:rFonts w:hint="eastAsia" w:ascii="仿宋" w:hAnsi="仿宋" w:eastAsia="仿宋" w:cs="仿宋"/>
          <w:sz w:val="32"/>
          <w:szCs w:val="32"/>
        </w:rPr>
        <w:t>》（</w:t>
      </w:r>
      <w:r>
        <w:rPr>
          <w:rFonts w:ascii="仿宋" w:hAnsi="仿宋" w:eastAsia="仿宋" w:cs="仿宋"/>
          <w:sz w:val="32"/>
          <w:szCs w:val="32"/>
        </w:rPr>
        <w:t>GB 2762-2017</w:t>
      </w:r>
      <w:r>
        <w:rPr>
          <w:rFonts w:hint="eastAsia" w:ascii="仿宋" w:hAnsi="仿宋" w:eastAsia="仿宋" w:cs="仿宋"/>
          <w:sz w:val="32"/>
          <w:szCs w:val="32"/>
        </w:rPr>
        <w:t>）。</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w:t>
      </w:r>
      <w:r>
        <w:rPr>
          <w:rFonts w:hint="eastAsia"/>
        </w:rPr>
        <w:t xml:space="preserve"> </w:t>
      </w:r>
      <w:r>
        <w:rPr>
          <w:rFonts w:hint="eastAsia" w:ascii="仿宋" w:hAnsi="仿宋" w:eastAsia="仿宋" w:cs="仿宋"/>
          <w:sz w:val="32"/>
          <w:szCs w:val="32"/>
        </w:rPr>
        <w:t>酱腌菜抽检项目包括阿斯巴甜、防腐剂混合使用时各自用量占其最大使用量的比例之和、三氯蔗糖、糖精钠（以糖精计）、甜蜜素（以环己基氨基磺酸计）。</w:t>
      </w:r>
    </w:p>
    <w:p>
      <w:pPr>
        <w:spacing w:line="440" w:lineRule="exact"/>
        <w:rPr>
          <w:rFonts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、豆制品</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抽检依据</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抽检依据《食品安全国家标准 </w:t>
      </w:r>
      <w:r>
        <w:rPr>
          <w:rFonts w:ascii="Verdana" w:hAnsi="Verdana" w:cs="Verdana"/>
          <w:color w:val="333333"/>
          <w:sz w:val="30"/>
          <w:szCs w:val="30"/>
          <w:shd w:val="clear" w:color="auto" w:fill="FFFFFF"/>
        </w:rPr>
        <w:t>食品添加剂使用标准</w:t>
      </w:r>
      <w:r>
        <w:rPr>
          <w:rFonts w:hint="eastAsia" w:ascii="仿宋" w:hAnsi="仿宋" w:eastAsia="仿宋" w:cs="仿宋"/>
          <w:sz w:val="32"/>
          <w:szCs w:val="32"/>
        </w:rPr>
        <w:t>》（GB 2760-2014）、《</w:t>
      </w:r>
      <w:r>
        <w:rPr>
          <w:color w:val="333333"/>
          <w:sz w:val="30"/>
          <w:szCs w:val="30"/>
        </w:rPr>
        <w:t>食品安全国家标准 豆制品</w:t>
      </w:r>
      <w:r>
        <w:rPr>
          <w:rFonts w:hint="eastAsia" w:ascii="仿宋" w:hAnsi="仿宋" w:eastAsia="仿宋" w:cs="仿宋"/>
          <w:sz w:val="32"/>
          <w:szCs w:val="32"/>
        </w:rPr>
        <w:t>》（</w:t>
      </w:r>
      <w:r>
        <w:rPr>
          <w:rFonts w:ascii="仿宋" w:hAnsi="仿宋" w:eastAsia="仿宋" w:cs="仿宋"/>
          <w:sz w:val="32"/>
          <w:szCs w:val="32"/>
        </w:rPr>
        <w:t>GB 2712-2014</w:t>
      </w:r>
      <w:r>
        <w:rPr>
          <w:rFonts w:hint="eastAsia" w:ascii="仿宋" w:hAnsi="仿宋" w:eastAsia="仿宋" w:cs="仿宋"/>
          <w:sz w:val="32"/>
          <w:szCs w:val="32"/>
        </w:rPr>
        <w:t>）。</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w:t>
      </w:r>
      <w:r>
        <w:rPr>
          <w:rFonts w:hint="eastAsia"/>
        </w:rPr>
        <w:t xml:space="preserve"> </w:t>
      </w:r>
      <w:r>
        <w:rPr>
          <w:rFonts w:hint="eastAsia" w:ascii="仿宋" w:hAnsi="仿宋" w:eastAsia="仿宋" w:cs="仿宋"/>
          <w:sz w:val="32"/>
          <w:szCs w:val="32"/>
        </w:rPr>
        <w:t>腐乳、豆豉、纳豆等抽检项目包括苯甲酸及其钠盐（以苯甲酸计）、大肠菌群(n=5)、铝的残留量(干样品，以Al计)、山梨酸及其钾盐（以山梨酸计）、糖精钠（以糖精计）、脱氢乙酸及其钠盐（以脱氢乙酸计）。</w:t>
      </w:r>
    </w:p>
    <w:p>
      <w:pPr>
        <w:spacing w:line="440" w:lineRule="exact"/>
        <w:rPr>
          <w:rFonts w:ascii="仿宋" w:hAnsi="仿宋" w:eastAsia="仿宋" w:cs="仿宋"/>
          <w:b/>
          <w:bCs/>
          <w:sz w:val="32"/>
          <w:szCs w:val="32"/>
        </w:rPr>
      </w:pPr>
      <w:r>
        <w:rPr>
          <w:rFonts w:hint="eastAsia" w:ascii="仿宋" w:hAnsi="仿宋" w:eastAsia="仿宋" w:cs="仿宋"/>
          <w:b/>
          <w:bCs/>
          <w:sz w:val="32"/>
          <w:szCs w:val="32"/>
          <w:lang w:eastAsia="zh-CN"/>
        </w:rPr>
        <w:t>七</w:t>
      </w:r>
      <w:r>
        <w:rPr>
          <w:rFonts w:hint="eastAsia" w:ascii="仿宋" w:hAnsi="仿宋" w:eastAsia="仿宋" w:cs="仿宋"/>
          <w:b/>
          <w:bCs/>
          <w:sz w:val="32"/>
          <w:szCs w:val="32"/>
        </w:rPr>
        <w:t>、水产制品</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sz w:val="32"/>
          <w:szCs w:val="32"/>
        </w:rPr>
        <w:t>（一）</w:t>
      </w:r>
      <w:r>
        <w:rPr>
          <w:rFonts w:hint="eastAsia" w:ascii="仿宋" w:hAnsi="仿宋" w:eastAsia="仿宋" w:cs="仿宋"/>
          <w:b/>
          <w:bCs/>
          <w:sz w:val="32"/>
          <w:szCs w:val="32"/>
        </w:rPr>
        <w:t>抽检依据</w:t>
      </w:r>
    </w:p>
    <w:p>
      <w:pPr>
        <w:spacing w:line="4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抽检依据《食品安全国家标准 </w:t>
      </w:r>
      <w:r>
        <w:rPr>
          <w:rFonts w:ascii="Verdana" w:hAnsi="Verdana" w:cs="Verdana"/>
          <w:color w:val="333333"/>
          <w:sz w:val="30"/>
          <w:szCs w:val="30"/>
          <w:shd w:val="clear" w:color="auto" w:fill="FFFFFF"/>
        </w:rPr>
        <w:t>食品添加剂使用标准</w:t>
      </w:r>
      <w:r>
        <w:rPr>
          <w:rFonts w:hint="eastAsia" w:ascii="仿宋" w:hAnsi="仿宋" w:eastAsia="仿宋" w:cs="仿宋"/>
          <w:sz w:val="32"/>
          <w:szCs w:val="32"/>
        </w:rPr>
        <w:t>》（GB 2760-2014）、《</w:t>
      </w:r>
      <w:r>
        <w:rPr>
          <w:color w:val="333333"/>
          <w:sz w:val="30"/>
          <w:szCs w:val="30"/>
        </w:rPr>
        <w:t>食品安全国家标准 食品中污染物限量</w:t>
      </w:r>
      <w:r>
        <w:rPr>
          <w:rFonts w:hint="eastAsia" w:ascii="仿宋" w:hAnsi="仿宋" w:eastAsia="仿宋" w:cs="仿宋"/>
          <w:sz w:val="32"/>
          <w:szCs w:val="32"/>
        </w:rPr>
        <w:t>》（</w:t>
      </w:r>
      <w:r>
        <w:rPr>
          <w:rFonts w:ascii="仿宋" w:hAnsi="仿宋" w:eastAsia="仿宋" w:cs="仿宋"/>
          <w:sz w:val="32"/>
          <w:szCs w:val="32"/>
        </w:rPr>
        <w:t>GB 2762-2017</w:t>
      </w:r>
      <w:r>
        <w:rPr>
          <w:rFonts w:hint="eastAsia" w:ascii="仿宋" w:hAnsi="仿宋" w:eastAsia="仿宋" w:cs="仿宋"/>
          <w:sz w:val="32"/>
          <w:szCs w:val="32"/>
        </w:rPr>
        <w:t>）。</w:t>
      </w:r>
    </w:p>
    <w:p>
      <w:pPr>
        <w:spacing w:line="440" w:lineRule="exact"/>
        <w:ind w:firstLine="321" w:firstLineChars="100"/>
        <w:rPr>
          <w:rFonts w:ascii="仿宋" w:hAnsi="仿宋" w:eastAsia="仿宋" w:cs="仿宋"/>
          <w:b/>
          <w:bCs/>
          <w:sz w:val="32"/>
          <w:szCs w:val="32"/>
        </w:rPr>
      </w:pPr>
      <w:r>
        <w:rPr>
          <w:rFonts w:hint="eastAsia" w:ascii="仿宋" w:hAnsi="仿宋" w:eastAsia="仿宋" w:cs="仿宋"/>
          <w:b/>
          <w:bCs/>
          <w:sz w:val="32"/>
          <w:szCs w:val="32"/>
        </w:rPr>
        <w:t>（二）检验项目</w:t>
      </w:r>
    </w:p>
    <w:p>
      <w:pPr>
        <w:spacing w:line="44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w:t>
      </w:r>
      <w:r>
        <w:rPr>
          <w:rFonts w:hint="eastAsia"/>
        </w:rPr>
        <w:t xml:space="preserve"> </w:t>
      </w:r>
      <w:r>
        <w:rPr>
          <w:rFonts w:hint="eastAsia" w:ascii="仿宋" w:hAnsi="仿宋" w:eastAsia="仿宋" w:cs="仿宋"/>
          <w:sz w:val="32"/>
          <w:szCs w:val="32"/>
        </w:rPr>
        <w:t>熟制动物性水产制品抽检项目包括N-二甲基亚硝胺、苯甲酸及其钠盐（以苯甲酸计）、山梨酸及其钾盐（以山梨酸计）、糖精钠（以糖精计）。</w:t>
      </w:r>
    </w:p>
    <w:p>
      <w:pPr>
        <w:spacing w:line="440" w:lineRule="exact"/>
        <w:ind w:firstLine="640" w:firstLineChars="200"/>
        <w:rPr>
          <w:rFonts w:ascii="仿宋" w:hAnsi="仿宋" w:eastAsia="仿宋" w:cs="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1EF54DB"/>
    <w:rsid w:val="0005155D"/>
    <w:rsid w:val="00145088"/>
    <w:rsid w:val="00303A23"/>
    <w:rsid w:val="00341BB6"/>
    <w:rsid w:val="004E5964"/>
    <w:rsid w:val="00546378"/>
    <w:rsid w:val="005D6805"/>
    <w:rsid w:val="00624EA9"/>
    <w:rsid w:val="006854AC"/>
    <w:rsid w:val="00872616"/>
    <w:rsid w:val="008B1B91"/>
    <w:rsid w:val="008B72F1"/>
    <w:rsid w:val="00A4208F"/>
    <w:rsid w:val="00B00686"/>
    <w:rsid w:val="00BC321D"/>
    <w:rsid w:val="00C04F58"/>
    <w:rsid w:val="00C67279"/>
    <w:rsid w:val="00CB31A8"/>
    <w:rsid w:val="00D52A33"/>
    <w:rsid w:val="00F6396B"/>
    <w:rsid w:val="00FA2AAA"/>
    <w:rsid w:val="01277657"/>
    <w:rsid w:val="01580EF0"/>
    <w:rsid w:val="03A838D5"/>
    <w:rsid w:val="0567504F"/>
    <w:rsid w:val="07EB147C"/>
    <w:rsid w:val="0A2505BC"/>
    <w:rsid w:val="0EC56FEA"/>
    <w:rsid w:val="11EF54DB"/>
    <w:rsid w:val="128F2827"/>
    <w:rsid w:val="1373373F"/>
    <w:rsid w:val="14627A69"/>
    <w:rsid w:val="15E80DD9"/>
    <w:rsid w:val="187C357E"/>
    <w:rsid w:val="19F32051"/>
    <w:rsid w:val="1B591DA6"/>
    <w:rsid w:val="1BB9627F"/>
    <w:rsid w:val="1D41234E"/>
    <w:rsid w:val="1E031FB0"/>
    <w:rsid w:val="1E5C51C4"/>
    <w:rsid w:val="210D5C5D"/>
    <w:rsid w:val="214A1DB7"/>
    <w:rsid w:val="24C7444B"/>
    <w:rsid w:val="254E2CAE"/>
    <w:rsid w:val="260C095C"/>
    <w:rsid w:val="264B2F7B"/>
    <w:rsid w:val="28F9231C"/>
    <w:rsid w:val="2D9F739D"/>
    <w:rsid w:val="2FD94FD4"/>
    <w:rsid w:val="32161A02"/>
    <w:rsid w:val="338C233E"/>
    <w:rsid w:val="33E51D8E"/>
    <w:rsid w:val="36FB547C"/>
    <w:rsid w:val="38897CBB"/>
    <w:rsid w:val="3A4C724D"/>
    <w:rsid w:val="3AAF0323"/>
    <w:rsid w:val="3B433356"/>
    <w:rsid w:val="3C885698"/>
    <w:rsid w:val="3CED5833"/>
    <w:rsid w:val="44204CC5"/>
    <w:rsid w:val="477035F1"/>
    <w:rsid w:val="4A560B3F"/>
    <w:rsid w:val="4C20258C"/>
    <w:rsid w:val="4D4962E4"/>
    <w:rsid w:val="4E645CDF"/>
    <w:rsid w:val="4F0133E7"/>
    <w:rsid w:val="4F991490"/>
    <w:rsid w:val="531E46CA"/>
    <w:rsid w:val="5595309F"/>
    <w:rsid w:val="56625C92"/>
    <w:rsid w:val="583E3DDC"/>
    <w:rsid w:val="59F36BB9"/>
    <w:rsid w:val="5AAC03DD"/>
    <w:rsid w:val="5AEA18B6"/>
    <w:rsid w:val="5E375F29"/>
    <w:rsid w:val="5FE366F8"/>
    <w:rsid w:val="63D8370D"/>
    <w:rsid w:val="65FB7ABA"/>
    <w:rsid w:val="6A364A94"/>
    <w:rsid w:val="6A5745EE"/>
    <w:rsid w:val="6B2B05B2"/>
    <w:rsid w:val="6B916080"/>
    <w:rsid w:val="6BEC2508"/>
    <w:rsid w:val="6D8E4D67"/>
    <w:rsid w:val="70F60347"/>
    <w:rsid w:val="71BC4480"/>
    <w:rsid w:val="74E52EC6"/>
    <w:rsid w:val="75E709EA"/>
    <w:rsid w:val="76275CCF"/>
    <w:rsid w:val="78B56F07"/>
    <w:rsid w:val="797B3218"/>
    <w:rsid w:val="7B7B2338"/>
    <w:rsid w:val="7D5B37D1"/>
    <w:rsid w:val="7DEA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5"/>
    <w:unhideWhenUsed/>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35"/>
    <w:uiPriority w:val="0"/>
    <w:rPr>
      <w:sz w:val="18"/>
      <w:szCs w:val="18"/>
    </w:rPr>
  </w:style>
  <w:style w:type="paragraph" w:styleId="4">
    <w:name w:val="footer"/>
    <w:basedOn w:val="1"/>
    <w:link w:val="34"/>
    <w:qFormat/>
    <w:uiPriority w:val="0"/>
    <w:pPr>
      <w:tabs>
        <w:tab w:val="center" w:pos="4153"/>
        <w:tab w:val="right" w:pos="8306"/>
      </w:tabs>
      <w:snapToGrid w:val="0"/>
      <w:jc w:val="left"/>
    </w:pPr>
    <w:rPr>
      <w:sz w:val="18"/>
      <w:szCs w:val="18"/>
    </w:rPr>
  </w:style>
  <w:style w:type="paragraph" w:styleId="5">
    <w:name w:val="header"/>
    <w:basedOn w:val="1"/>
    <w:link w:val="33"/>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FollowedHyperlink"/>
    <w:basedOn w:val="6"/>
    <w:qFormat/>
    <w:uiPriority w:val="0"/>
    <w:rPr>
      <w:color w:val="337AB7"/>
      <w:u w:val="none"/>
    </w:rPr>
  </w:style>
  <w:style w:type="character" w:styleId="9">
    <w:name w:val="HTML Definition"/>
    <w:basedOn w:val="6"/>
    <w:qFormat/>
    <w:uiPriority w:val="0"/>
    <w:rPr>
      <w:i/>
    </w:rPr>
  </w:style>
  <w:style w:type="character" w:styleId="10">
    <w:name w:val="Hyperlink"/>
    <w:basedOn w:val="6"/>
    <w:qFormat/>
    <w:uiPriority w:val="0"/>
    <w:rPr>
      <w:color w:val="337AB7"/>
      <w:u w:val="none"/>
    </w:rPr>
  </w:style>
  <w:style w:type="character" w:styleId="11">
    <w:name w:val="HTML Code"/>
    <w:basedOn w:val="6"/>
    <w:qFormat/>
    <w:uiPriority w:val="0"/>
    <w:rPr>
      <w:rFonts w:hint="default" w:ascii="Consolas" w:hAnsi="Consolas" w:eastAsia="Consolas" w:cs="Consolas"/>
      <w:color w:val="CA4440"/>
      <w:sz w:val="21"/>
      <w:szCs w:val="21"/>
      <w:shd w:val="clear" w:color="auto" w:fill="F9F2F4"/>
    </w:rPr>
  </w:style>
  <w:style w:type="character" w:styleId="12">
    <w:name w:val="HTML Keyboard"/>
    <w:basedOn w:val="6"/>
    <w:qFormat/>
    <w:uiPriority w:val="0"/>
    <w:rPr>
      <w:rFonts w:hint="default" w:ascii="Consolas" w:hAnsi="Consolas" w:eastAsia="Consolas" w:cs="Consolas"/>
      <w:color w:val="FFFFFF"/>
      <w:sz w:val="21"/>
      <w:szCs w:val="21"/>
      <w:shd w:val="clear" w:color="auto" w:fill="333333"/>
    </w:rPr>
  </w:style>
  <w:style w:type="character" w:styleId="13">
    <w:name w:val="HTML Sample"/>
    <w:basedOn w:val="6"/>
    <w:qFormat/>
    <w:uiPriority w:val="0"/>
    <w:rPr>
      <w:rFonts w:ascii="Consolas" w:hAnsi="Consolas" w:eastAsia="Consolas" w:cs="Consolas"/>
      <w:sz w:val="21"/>
      <w:szCs w:val="21"/>
    </w:rPr>
  </w:style>
  <w:style w:type="character" w:customStyle="1" w:styleId="15">
    <w:name w:val="标题 2 Char"/>
    <w:basedOn w:val="6"/>
    <w:link w:val="2"/>
    <w:qFormat/>
    <w:uiPriority w:val="0"/>
    <w:rPr>
      <w:rFonts w:ascii="Arial" w:hAnsi="Arial" w:eastAsia="黑体"/>
      <w:b/>
      <w:sz w:val="32"/>
    </w:rPr>
  </w:style>
  <w:style w:type="character" w:customStyle="1" w:styleId="16">
    <w:name w:val="label10"/>
    <w:basedOn w:val="6"/>
    <w:qFormat/>
    <w:uiPriority w:val="0"/>
    <w:rPr>
      <w:color w:val="1AB394"/>
      <w:shd w:val="clear" w:color="auto" w:fill="FFFFFF"/>
    </w:rPr>
  </w:style>
  <w:style w:type="character" w:customStyle="1" w:styleId="17">
    <w:name w:val="label11"/>
    <w:basedOn w:val="6"/>
    <w:qFormat/>
    <w:uiPriority w:val="0"/>
    <w:rPr>
      <w:color w:val="1CC09F"/>
      <w:shd w:val="clear" w:color="auto" w:fill="FFFFFF"/>
    </w:rPr>
  </w:style>
  <w:style w:type="character" w:customStyle="1" w:styleId="18">
    <w:name w:val="label12"/>
    <w:basedOn w:val="6"/>
    <w:qFormat/>
    <w:uiPriority w:val="0"/>
  </w:style>
  <w:style w:type="character" w:customStyle="1" w:styleId="19">
    <w:name w:val="label13"/>
    <w:basedOn w:val="6"/>
    <w:qFormat/>
    <w:uiPriority w:val="0"/>
  </w:style>
  <w:style w:type="character" w:customStyle="1" w:styleId="20">
    <w:name w:val="hover11"/>
    <w:basedOn w:val="6"/>
    <w:qFormat/>
    <w:uiPriority w:val="0"/>
    <w:rPr>
      <w:shd w:val="clear" w:color="auto" w:fill="EEEEEE"/>
    </w:rPr>
  </w:style>
  <w:style w:type="character" w:customStyle="1" w:styleId="21">
    <w:name w:val="old"/>
    <w:basedOn w:val="6"/>
    <w:qFormat/>
    <w:uiPriority w:val="0"/>
    <w:rPr>
      <w:color w:val="999999"/>
    </w:rPr>
  </w:style>
  <w:style w:type="character" w:customStyle="1" w:styleId="22">
    <w:name w:val="new"/>
    <w:basedOn w:val="6"/>
    <w:qFormat/>
    <w:uiPriority w:val="0"/>
    <w:rPr>
      <w:color w:val="999999"/>
    </w:rPr>
  </w:style>
  <w:style w:type="character" w:customStyle="1" w:styleId="23">
    <w:name w:val="first-child"/>
    <w:basedOn w:val="6"/>
    <w:qFormat/>
    <w:uiPriority w:val="0"/>
  </w:style>
  <w:style w:type="character" w:customStyle="1" w:styleId="24">
    <w:name w:val="layui-this"/>
    <w:basedOn w:val="6"/>
    <w:qFormat/>
    <w:uiPriority w:val="0"/>
    <w:rPr>
      <w:bdr w:val="single" w:color="EEEEEE" w:sz="6" w:space="0"/>
      <w:shd w:val="clear" w:color="auto" w:fill="FFFFFF"/>
    </w:rPr>
  </w:style>
  <w:style w:type="character" w:customStyle="1" w:styleId="25">
    <w:name w:val="active7"/>
    <w:basedOn w:val="6"/>
    <w:qFormat/>
    <w:uiPriority w:val="0"/>
    <w:rPr>
      <w:shd w:val="clear" w:color="auto" w:fill="F6F6F6"/>
    </w:rPr>
  </w:style>
  <w:style w:type="character" w:customStyle="1" w:styleId="26">
    <w:name w:val="label"/>
    <w:basedOn w:val="6"/>
    <w:qFormat/>
    <w:uiPriority w:val="0"/>
    <w:rPr>
      <w:color w:val="1AB394"/>
      <w:shd w:val="clear" w:color="auto" w:fill="FFFFFF"/>
    </w:rPr>
  </w:style>
  <w:style w:type="character" w:customStyle="1" w:styleId="27">
    <w:name w:val="label1"/>
    <w:basedOn w:val="6"/>
    <w:qFormat/>
    <w:uiPriority w:val="0"/>
    <w:rPr>
      <w:color w:val="1CC09F"/>
      <w:shd w:val="clear" w:color="auto" w:fill="FFFFFF"/>
    </w:rPr>
  </w:style>
  <w:style w:type="character" w:customStyle="1" w:styleId="28">
    <w:name w:val="label2"/>
    <w:basedOn w:val="6"/>
    <w:qFormat/>
    <w:uiPriority w:val="0"/>
    <w:rPr>
      <w:bdr w:val="dashed" w:color="E7EAEC" w:sz="6" w:space="0"/>
      <w:shd w:val="clear" w:color="auto" w:fill="F3F3F4"/>
    </w:rPr>
  </w:style>
  <w:style w:type="character" w:customStyle="1" w:styleId="29">
    <w:name w:val="label3"/>
    <w:basedOn w:val="6"/>
    <w:qFormat/>
    <w:uiPriority w:val="0"/>
  </w:style>
  <w:style w:type="character" w:customStyle="1" w:styleId="30">
    <w:name w:val="active"/>
    <w:basedOn w:val="6"/>
    <w:qFormat/>
    <w:uiPriority w:val="0"/>
    <w:rPr>
      <w:shd w:val="clear" w:color="auto" w:fill="F6F6F6"/>
    </w:rPr>
  </w:style>
  <w:style w:type="character" w:customStyle="1" w:styleId="31">
    <w:name w:val="label9"/>
    <w:basedOn w:val="6"/>
    <w:qFormat/>
    <w:uiPriority w:val="0"/>
    <w:rPr>
      <w:color w:val="1CC09F"/>
      <w:shd w:val="clear" w:color="auto" w:fill="FFFFFF"/>
    </w:rPr>
  </w:style>
  <w:style w:type="character" w:customStyle="1" w:styleId="32">
    <w:name w:val="hover10"/>
    <w:basedOn w:val="6"/>
    <w:qFormat/>
    <w:uiPriority w:val="0"/>
    <w:rPr>
      <w:shd w:val="clear" w:color="auto" w:fill="EEEEEE"/>
    </w:rPr>
  </w:style>
  <w:style w:type="character" w:customStyle="1" w:styleId="33">
    <w:name w:val="页眉 Char"/>
    <w:basedOn w:val="6"/>
    <w:link w:val="5"/>
    <w:qFormat/>
    <w:uiPriority w:val="0"/>
    <w:rPr>
      <w:rFonts w:ascii="Calibri" w:hAnsi="Calibri"/>
      <w:kern w:val="2"/>
      <w:sz w:val="18"/>
      <w:szCs w:val="18"/>
    </w:rPr>
  </w:style>
  <w:style w:type="character" w:customStyle="1" w:styleId="34">
    <w:name w:val="页脚 Char"/>
    <w:basedOn w:val="6"/>
    <w:link w:val="4"/>
    <w:qFormat/>
    <w:uiPriority w:val="0"/>
    <w:rPr>
      <w:rFonts w:ascii="Calibri" w:hAnsi="Calibri"/>
      <w:kern w:val="2"/>
      <w:sz w:val="18"/>
      <w:szCs w:val="18"/>
    </w:rPr>
  </w:style>
  <w:style w:type="character" w:customStyle="1" w:styleId="35">
    <w:name w:val="批注框文本 Char"/>
    <w:basedOn w:val="6"/>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649</Words>
  <Characters>3705</Characters>
  <Lines>30</Lines>
  <Paragraphs>8</Paragraphs>
  <TotalTime>0</TotalTime>
  <ScaleCrop>false</ScaleCrop>
  <LinksUpToDate>false</LinksUpToDate>
  <CharactersWithSpaces>4346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2019-05-07T08:39:00Z</dcterms:created>
  <dc:creator>♂屾屾</dc:creator>
  <cp:lastModifiedBy>维拉</cp:lastModifiedBy>
  <dcterms:modified xsi:type="dcterms:W3CDTF">2020-12-10T06:32:53Z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