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20</w:t>
      </w:r>
      <w:r>
        <w:rPr>
          <w:rFonts w:ascii="方正小标宋简体" w:hAnsi="宋体" w:eastAsia="方正小标宋简体"/>
          <w:sz w:val="32"/>
          <w:szCs w:val="32"/>
        </w:rPr>
        <w:t>20</w:t>
      </w:r>
      <w:r>
        <w:rPr>
          <w:rFonts w:hint="eastAsia" w:ascii="方正小标宋简体" w:hAnsi="宋体" w:eastAsia="方正小标宋简体"/>
          <w:sz w:val="32"/>
          <w:szCs w:val="32"/>
        </w:rPr>
        <w:t>年深圳市猪肉产品和蔬菜质量安全例行监测结果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ascii="方正小标宋简体" w:hAnsi="宋体" w:eastAsia="方正小标宋简体"/>
          <w:sz w:val="32"/>
          <w:szCs w:val="32"/>
        </w:rPr>
        <w:t>38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期 </w:t>
      </w:r>
      <w:r>
        <w:rPr>
          <w:rFonts w:ascii="方正小标宋简体" w:hAnsi="宋体" w:eastAsia="方正小标宋简体"/>
          <w:sz w:val="32"/>
          <w:szCs w:val="32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27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30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0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0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检测样品数（份）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不合格样品数量（份）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5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17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410"/>
        <w:gridCol w:w="3544"/>
        <w:gridCol w:w="708"/>
        <w:gridCol w:w="851"/>
        <w:gridCol w:w="1417"/>
        <w:gridCol w:w="1276"/>
        <w:gridCol w:w="851"/>
        <w:gridCol w:w="992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1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不合格项目（μg/kg）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深圳市塘田永锡农贸肉菜市场有限公司(塘朗市场)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深圳市南山区桃源街道塘朗社区塘兴路217号塘朗市场综合商住楼A-21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6号/44097597295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龙岗区坪地中心社区岳湖岗居民小组十八小区福民商业街一楼二楼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丘辉英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龙岗区坪地中心社区岳湖岗居民小组十八小区福民商业街一楼二楼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梁汉太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龙岗区坪地中心社区岳湖岗居民小组十八小区福民商业街一楼二楼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彭灿生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深圳市龙华区福城街道泗黎路44号(福民市场)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3号/44097594525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1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204"/>
        <w:gridCol w:w="2693"/>
        <w:gridCol w:w="2835"/>
        <w:gridCol w:w="993"/>
        <w:gridCol w:w="992"/>
        <w:gridCol w:w="1417"/>
        <w:gridCol w:w="993"/>
        <w:gridCol w:w="1134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深圳市塘田永锡农贸肉菜市场有限公司(塘朗市场)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深圳市南山区桃源街道塘朗社区塘兴路217号塘朗市场综合商住楼A-21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A-21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深圳市塘田永锡农贸肉菜市场有限公司(塘朗市场)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深圳市南山区桃源街道塘朗社区塘兴路217号塘朗市场综合商住楼A-21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A-21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深圳市塘田永锡农贸肉菜市场有限公司(塘朗市场)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深圳市南山区桃源街道塘朗社区塘兴路217号塘朗市场综合商住楼A-21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A-21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深圳市塘田永锡农贸肉菜市场有限公司(塘朗市场)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深圳市南山区桃源街道塘朗社区塘兴路217号塘朗市场综合商住楼A-21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A-21-13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深圳市塘田永锡农贸肉菜市场有限公司(塘朗市场)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深圳市南山区桃源街道塘朗社区塘兴路217号塘朗市场综合商住楼A-21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A-21-13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龙岗区坪地中心社区岳湖岗居民小组十八小区福民商业街一楼二楼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B区83号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龙岗区坪地中心社区岳湖岗居民小组十八小区福民商业街一楼二楼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B区83号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龙岗区坪地中心社区岳湖岗居民小组十八小区福民商业街一楼二楼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B区83号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龙岗区坪地中心社区岳湖岗居民小组十八小区福民商业街一楼二楼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吴正标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龙岗区坪地中心社区岳湖岗居民小组十八小区福民商业街一楼二楼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吴正标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龙岗区坪地中心社区岳湖岗居民小组十八小区福民商业街一楼二楼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吴正标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龙岗区坪地中心社区岳湖岗居民小组十八小区福民商业街一楼二楼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B区84号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龙岗区坪地中心社区岳湖岗居民小组十八小区福民商业街一楼二楼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B区84号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龙岗区坪地中心社区岳湖岗居民小组十八小区福民商业街一楼二楼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B区84号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深圳市龙华区福城街道泗黎路44号(福民市场)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深圳市龙华区福城街道泗黎路44号(福民市场)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2020/9/28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深圳市龙华区福城街道泗黎路44号(福民市场)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GB23200.34、SN/T2441、NY/T1456、GB23200.113、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GB/T5009.136、NY/T1453、GB/T5009.103、GB/T5009.19、NY/T1379、GB/T5009.20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GB/T5009.131、GB/T5009.102、GB/T5009.146、GB/T5009.105、SN/T2151、GB23200.19等，所有检测方法均为最新有效版本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对于初检样品中甲基异柳磷、百菌清、虫螨腈参照GB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1C457CA3"/>
    <w:rsid w:val="1EA5555C"/>
    <w:rsid w:val="37FA47FC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1</TotalTime>
  <ScaleCrop>false</ScaleCrop>
  <LinksUpToDate>false</LinksUpToDate>
  <CharactersWithSpaces>9373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Healer</cp:lastModifiedBy>
  <dcterms:modified xsi:type="dcterms:W3CDTF">2020-12-09T01:42:20Z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