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 w:firstLineChars="0"/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附件1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本次检验项目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eastAsia="zh-CN"/>
        </w:rPr>
        <w:t>饼干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  <w:t>（一）相关标准依据</w:t>
      </w:r>
    </w:p>
    <w:p>
      <w:pPr>
        <w:widowControl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《食品安全国家标准 食品添加剂使用标准》（GB 2760—2014）、《食品安全国家标准 饼干》（GB 7100—2015）等标准及产品明示标准和质量要求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。</w:t>
      </w:r>
    </w:p>
    <w:p>
      <w:pPr>
        <w:widowControl/>
        <w:tabs>
          <w:tab w:val="right" w:pos="8306"/>
        </w:tabs>
        <w:spacing w:line="520" w:lineRule="exact"/>
        <w:ind w:firstLine="640" w:firstLineChars="200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  <w:t>（二）检验项目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饼干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抽检项目为：酸价（以脂肪计）、过氧化值（以脂肪计）、苯甲酸及其钠盐（以苯甲酸计）、山梨酸及其钾盐（以山梨酸计）、铝的残留量（干样品，以Al计）、脱氢乙酸及其钠盐（以脱氢乙酸计）、菌落总数、大肠菌群、霉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eastAsia="zh-CN"/>
        </w:rPr>
        <w:t>茶叶及相关制品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  <w:t>（一）相关标准依据</w:t>
      </w:r>
    </w:p>
    <w:p>
      <w:pPr>
        <w:pStyle w:val="11"/>
        <w:spacing w:line="520" w:lineRule="exact"/>
        <w:jc w:val="both"/>
        <w:rPr>
          <w:rFonts w:hint="default" w:ascii="Times New Roman" w:hAnsi="Times New Roman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 xml:space="preserve">    《食品安全国家标准 食品中污染物限量》（GB 2762—2017）、《食品安全国家标准 食品中农药最大残留限量》（GB 2763—2016）、《食品安全国家标准 食品中农药最大残留限量》（GB 2763—2019）等标准及产品明示标准和质量要求。</w:t>
      </w:r>
    </w:p>
    <w:p>
      <w:pPr>
        <w:widowControl/>
        <w:tabs>
          <w:tab w:val="right" w:pos="8306"/>
        </w:tabs>
        <w:spacing w:line="52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  <w:t>（二）检验项目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1.代用茶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抽检项目为：铅（以Pb计）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。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2.绿茶、红茶、乌龙茶、黄茶、白茶、黑茶、花茶、袋泡茶、紧压茶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抽检项目为：铅（以Pb计）、草甘膦、吡虫啉、内吸磷、乙酰甲胺磷、联苯菊酯、氯氰菊酯和高效氯氰菊酯、灭多威、三氯杀螨醇、氰戊菊酯和S-氰戊菊酯、甲胺磷、啶虫脒、吡蚜酮、敌百虫、甲拌磷、克百威、氯唑磷、灭线磷、水胺硫磷、氧乐果、茚虫威、丙溴磷、毒死蜱、莠去津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。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3.速溶茶类、其它含茶制品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抽检项目为：铅（以Pb计）、菌落总数、大肠菌群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。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淀粉及淀粉制品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  <w:t>（一）相关标准依据</w:t>
      </w:r>
    </w:p>
    <w:p>
      <w:pPr>
        <w:pStyle w:val="11"/>
        <w:spacing w:line="520" w:lineRule="exact"/>
        <w:ind w:firstLine="636"/>
        <w:jc w:val="both"/>
        <w:rPr>
          <w:rFonts w:hint="default" w:ascii="Times New Roman" w:hAnsi="Times New Roman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《食品安全国家标准 食品添加剂使用标准》（GB 2760—2014）、《食品安全国家标准 食品中污染物限量》（GB 2762—2017）、《食品安全国家标准 食用淀粉》（GB 31637—2016）等标准及产品明示标准和质量要求。</w:t>
      </w:r>
    </w:p>
    <w:p>
      <w:pPr>
        <w:widowControl/>
        <w:tabs>
          <w:tab w:val="right" w:pos="8306"/>
        </w:tabs>
        <w:spacing w:line="520" w:lineRule="exact"/>
        <w:ind w:firstLine="640" w:firstLineChars="200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  <w:t>（二）检验项目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1.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淀粉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抽检项目为：铅（以Pb计）、菌落总数、大肠菌群、霉菌和酵母。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2.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粉丝粉条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抽检项目为：铅（以Pb计）、铝的残留量（干样品，以Al计）、二氧化硫残留量。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四、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方便食品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  <w:t>（一）相关标准依据</w:t>
      </w:r>
    </w:p>
    <w:p>
      <w:pPr>
        <w:pStyle w:val="11"/>
        <w:spacing w:line="520" w:lineRule="exact"/>
        <w:ind w:firstLine="636"/>
        <w:jc w:val="both"/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</w:rPr>
        <w:t>《食品安全国家标准 食品添加剂使用标准》（GB 2760—2014）、《食品安全国家标准 食品中真菌毒素限量》（GB 2761—2017）、《食品安全国家标准 食品中污染物限量》（GB 2762—2017）、《食品安全国家标准 食品中致病菌限量》（GB 29921—2013）、《食品安全国家标准 方便面》（GB 17400—2015）、《食品安全国家标准 冲调谷物制品》（GB 19640—2016）等标准及产品明示标准和质量要求。</w:t>
      </w:r>
    </w:p>
    <w:p>
      <w:pPr>
        <w:widowControl/>
        <w:tabs>
          <w:tab w:val="right" w:pos="8306"/>
        </w:tabs>
        <w:spacing w:line="52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  <w:t>（二）检验项目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油炸面、非油炸面、方便米粉</w:t>
      </w:r>
      <w:r>
        <w:rPr>
          <w:rFonts w:hint="eastAsia" w:ascii="Times New Roman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米线</w:t>
      </w:r>
      <w:r>
        <w:rPr>
          <w:rFonts w:hint="eastAsia" w:ascii="Times New Roman" w:cs="Times New Roman"/>
          <w:b w:val="0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、方便粉丝抽检项目为：水分、酸价（以脂肪计）、过氧化值（以脂肪计）、菌落总数、大肠菌群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。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2.方便粥、方便盒饭、冷面及其他熟制方便食品等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抽检项目为：酸价（以脂肪计）、过氧化值（以脂肪计）、铅（以Pb计）、黄曲霉毒素B1、苯甲酸及其钠盐（以苯甲酸计）、山梨酸及其钾盐（以山梨酸计）、糖精钠（以糖精计）、菌落总数、大肠菌群、霉菌、沙门氏菌、金黄色葡萄球菌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。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五、冷冻饮品</w:t>
      </w:r>
    </w:p>
    <w:p>
      <w:pPr>
        <w:pStyle w:val="11"/>
        <w:spacing w:line="520" w:lineRule="exact"/>
        <w:ind w:firstLine="636"/>
        <w:jc w:val="both"/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</w:rPr>
        <w:t>《食品安全国家标准 食品添加剂使用标准》（GB 2760—2014）、《食品安全国家标准 冷冻饮品和制作料》（GB 2759—2015）等标准及产品明示标准和质量要求。</w:t>
      </w:r>
    </w:p>
    <w:p>
      <w:pPr>
        <w:widowControl/>
        <w:tabs>
          <w:tab w:val="right" w:pos="8306"/>
        </w:tabs>
        <w:spacing w:line="52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  <w:t>（二）检验项目</w:t>
      </w:r>
    </w:p>
    <w:p>
      <w:pPr>
        <w:pStyle w:val="11"/>
        <w:spacing w:line="520" w:lineRule="exact"/>
        <w:ind w:firstLine="636"/>
        <w:jc w:val="both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冰淇淋、雪糕、雪泥、冰棍、食用冰、甜味冰、其他类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抽检项目为：蛋白质、甜蜜素（以环己基氨基磺酸计）、阿力甜、菌落总数、大肠菌群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。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六、肉制品</w:t>
      </w:r>
    </w:p>
    <w:p>
      <w:pPr>
        <w:pStyle w:val="11"/>
        <w:spacing w:line="520" w:lineRule="exact"/>
        <w:ind w:firstLine="636"/>
        <w:jc w:val="both"/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</w:rPr>
        <w:t>《食品安全国家标准 食品添加剂使用标准》（GB 2760—2014）、《食品安全国家标准 食品中污染物限量》（GB 2762—2017）、《食品安全国家标准 腌腊肉制品》（GB 2730—2015）、《食品安全国家标准 熟肉制品》（GB 2726—2016）、《食品安全国家标准 食品中致病菌限量》（GB 29921—2013）、《食品中可能违法添加的非食用物质和易滥用的食品添加剂品种名单（第五批）》（整顿办函〔2011〕1号）等标准及产品明示标准和质量要求。</w:t>
      </w:r>
    </w:p>
    <w:p>
      <w:pPr>
        <w:widowControl/>
        <w:tabs>
          <w:tab w:val="right" w:pos="8306"/>
        </w:tabs>
        <w:spacing w:line="52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  <w:t>（二）检验项目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1.腌腊肉制品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抽检项目为：过氧化值（以脂肪计）、铅（以Pb计）、总砷（以As计）、氯霉素、亚硝酸盐（以亚硝酸钠计）、苯甲酸及其钠盐（以苯甲酸计）、山梨酸及其钾盐（以山梨酸计）、胭脂红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。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2.熏煮香肠火腿制品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抽检项目为：氯霉素、亚硝酸盐（以亚硝酸钠计）、苯甲酸及其钠盐（以苯甲酸计）、山梨酸及其钾盐（以山梨酸计）、脱氢乙酸及其钠盐（以脱氢乙酸计）、防腐剂混合使用时各自用量占其最大使用量的比例之和、菌落总数、大肠菌群、单核细胞增生李斯特氏菌、大肠埃希氏菌O157:H7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。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3.熏烧烤肉制品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抽检项目为：苯并[a]芘、氯霉素、菌落总数、大肠菌群、单核细胞增生李斯特氏菌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。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七、乳制品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</w:rPr>
        <w:t>《食品安全国家标准 灭菌乳》（GB 25190—2010）、《食品安全国家标准 调制乳》（GB 25191—2010）、《食品安全国家标准 巴氏杀菌乳》（GB 19645—2010）、《关于三聚氰胺在食品中的限量值的公告》（卫生部、工业和信息化部、农业部、工商总局、质检总局公告2011年第10号）等标准及产品明示标准和质量要求。</w:t>
      </w:r>
    </w:p>
    <w:p>
      <w:pPr>
        <w:widowControl/>
        <w:tabs>
          <w:tab w:val="right" w:pos="8306"/>
        </w:tabs>
        <w:spacing w:line="52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  <w:t>（二）检验项目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1.灭菌乳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抽检项目为：蛋白质、非脂乳固体、酸度、脂肪、三聚氰胺、商业无菌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。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2.调制乳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抽检项目为：蛋白质、三聚氰胺、菌落总数、大肠菌群、商业无菌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。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3.巴氏杀菌乳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抽检项目为：蛋白质、酸度、三聚氰胺、菌落总数、大肠菌群、金黄色葡萄球菌、沙门氏菌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。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4.发酵乳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抽检项目为：脂肪、蛋白质、酸度、三聚氰胺、山梨酸及其钾盐（以山梨酸计）、大肠菌群、酵母、霉菌、金黄色葡萄球菌、沙门氏菌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。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八、食用油、油脂及其制品</w:t>
      </w:r>
    </w:p>
    <w:p>
      <w:pPr>
        <w:pStyle w:val="11"/>
        <w:spacing w:line="520" w:lineRule="exact"/>
        <w:ind w:firstLine="636"/>
        <w:jc w:val="both"/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</w:rPr>
        <w:t>《食品安全国家标准 食品添加剂使用标准》（GB 2760—2014）、《食品安全国家标准 食品中真菌毒素限量》（GB 2761—2017）、《食品安全国家标准 食品中污染物限量》（GB 2762—2017）、《食用植物油卫生标准》（GB 2716—2005）等标准及产品明示标准和质量要求。</w:t>
      </w:r>
    </w:p>
    <w:p>
      <w:pPr>
        <w:widowControl/>
        <w:tabs>
          <w:tab w:val="right" w:pos="8306"/>
        </w:tabs>
        <w:spacing w:line="52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  <w:t>（二）检验项目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花生油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抽检项目为：酸值/酸价、过氧化值、黄曲霉毒素B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vertAlign w:val="subscript"/>
        </w:rPr>
        <w:t>1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、苯并[a]芘、溶剂残留量、特丁基对苯二酚（TBHQ）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。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九、薯类和膨化食品</w:t>
      </w:r>
    </w:p>
    <w:p>
      <w:pPr>
        <w:pStyle w:val="11"/>
        <w:spacing w:line="520" w:lineRule="exact"/>
        <w:ind w:firstLine="636"/>
        <w:jc w:val="both"/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</w:rPr>
        <w:t>《食品安全国家标准 食品添加剂使用标准》（GB 2760—2014）、《食品安全国家标准 食品中真菌毒素限量》（GB 2761—2017）、《食品安全国家标准 膨化食品》（GB 17401—2014）等标准及产品明示标准和质量要求。</w:t>
      </w:r>
    </w:p>
    <w:p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  <w:t>（二）检验项目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干制薯类</w:t>
      </w:r>
      <w:r>
        <w:rPr>
          <w:rFonts w:hint="eastAsia" w:ascii="Times New Roman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除马铃薯片外</w:t>
      </w:r>
      <w:r>
        <w:rPr>
          <w:rFonts w:hint="eastAsia" w:ascii="Times New Roman" w:cs="Times New Roman"/>
          <w:b w:val="0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抽检项目为：铅（以Pb计）、二氧化硫残留量、沙门氏菌、金黄色葡萄球菌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。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2.含油型膨化食品和非含油型膨化食品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抽检项目为：水分、酸价（以脂肪计）、过氧化值（以脂肪计）、黄曲霉毒素B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vertAlign w:val="subscript"/>
        </w:rPr>
        <w:t>1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、糖精钠（以糖精计）、苯甲酸及其钠盐（以苯甲酸计）、山梨酸及其钾盐（以山梨酸计）、菌落总数、大肠菌群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。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十、糖果制品</w:t>
      </w:r>
    </w:p>
    <w:p>
      <w:pPr>
        <w:pStyle w:val="11"/>
        <w:spacing w:line="520" w:lineRule="exact"/>
        <w:ind w:firstLine="636"/>
        <w:jc w:val="both"/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</w:rPr>
        <w:t>《食品安全国家标准 食品添加剂使用标准》（GB 2760—2014）、《食品安全国家标准 食品中污染物限量》（GB 2762—2017）、《食品安全国家标准 糖果》（GB 17399—2016）、《食品安全国家标准 果冻》（GB 19299—2015）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</w:rPr>
        <w:t>《食品安全国家标准 食品中致病菌限量》（GB 29921—2013）等标准及产品明示标准和质量要求。</w:t>
      </w:r>
    </w:p>
    <w:p>
      <w:pPr>
        <w:widowControl/>
        <w:tabs>
          <w:tab w:val="right" w:pos="8306"/>
        </w:tabs>
        <w:spacing w:line="52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  <w:t>（二）检验项目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糖果抽检项目为：铅（以Pb计）、糖精钠（以糖精计）、合成着色剂（柠檬黄、苋菜红、胭脂红、日落黄）、相同色泽着色剂混合使用时各自用量占其最大使用量的比例之和、菌落总数、大肠菌群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。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2.果冻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抽检项目为：山梨酸及其钾盐（以山梨酸计）、苯甲酸及其钠盐（以苯甲酸计）、菌落总数、大肠菌群、霉菌、酵母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。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3.巧克力、巧克力制品、代可可脂巧克力及代可可脂巧克力制品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抽检项目为：铅（以Pb计）、沙门氏菌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。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十一、调味品</w:t>
      </w:r>
    </w:p>
    <w:p>
      <w:pPr>
        <w:pStyle w:val="11"/>
        <w:spacing w:line="520" w:lineRule="exact"/>
        <w:ind w:firstLine="636"/>
        <w:jc w:val="both"/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</w:rPr>
        <w:t>《食品安全国家标准 食品添加剂使用标准》（GB 2760—2014）、《食品安全国家标准 味精》（GB 2720—2015）、《食品中可能违法添加的非食用物质和易滥用的食品添加剂品种名单（第一批）》（食品整治办〔2008〕3号）等标准及产品明示标准和质量要求。</w:t>
      </w:r>
    </w:p>
    <w:p>
      <w:pPr>
        <w:widowControl/>
        <w:tabs>
          <w:tab w:val="right" w:pos="8306"/>
        </w:tabs>
        <w:spacing w:line="52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  <w:t>（二）检验项目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1.辣椒酱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抽检项目为：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。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2.其他半固体调味料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抽检项目为：罗丹明B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。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3.味精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抽检项目为：谷氨酸钠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。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十二、糕点</w:t>
      </w:r>
    </w:p>
    <w:p>
      <w:pPr>
        <w:pStyle w:val="11"/>
        <w:spacing w:line="520" w:lineRule="exact"/>
        <w:ind w:firstLine="636"/>
        <w:jc w:val="both"/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</w:rPr>
        <w:t>《食品安全国家标准 食品添加剂使用标准》（GB 2760—2014）、《食品安全国家标准 食品中污染物限量》（GB 2762—2017）、《食品安全国家标准 食品中致病菌限量》（GB 29921—2013）、《食品安全国家标准 糕点、面包》（GB 7099—2015）、《食品中可能违法添加的非食用物质名单（第二批）》（食品整治办〔2009〕5号）等标准及产品明示标准和质量要求。</w:t>
      </w:r>
    </w:p>
    <w:p>
      <w:pPr>
        <w:widowControl/>
        <w:tabs>
          <w:tab w:val="right" w:pos="8306"/>
        </w:tabs>
        <w:spacing w:line="52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  <w:t>（二）检验项目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1.糕点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抽检项目为：酸价（以脂肪计）、过氧化值（以脂肪计）、铅（以Pb计）、富马酸二甲酯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三氯蔗糖、丙二醇、防腐剂混合使用时各自用量占其最大使用量的比例之和、菌落总数、大肠菌群、金黄色葡萄球菌、沙门氏菌、霉菌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。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2.月饼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抽检项目为：酸价（以脂肪计）、过氧化值（以脂肪计）、富马酸二甲酯、苯甲酸及其钠盐（以苯甲酸计）、山梨酸及其钾盐（以山梨酸计）、铝的残留量（干样品，以Al计）、丙酸及其钠盐、钙盐（以丙酸计）、脱氢乙酸及其钠盐（以脱氢乙酸计）、纳他霉素、防腐剂混合使用时各自用量占其最大使用量的比例之和、菌落总数、大肠菌群、金黄色葡萄球菌、沙门氏菌、霉菌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。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十三、蔬菜制品</w:t>
      </w:r>
    </w:p>
    <w:p>
      <w:pPr>
        <w:pStyle w:val="11"/>
        <w:spacing w:line="520" w:lineRule="exact"/>
        <w:ind w:firstLine="636"/>
        <w:jc w:val="both"/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</w:rPr>
        <w:t>《食品安全国家标准 食品添加剂使用标准》（GB 2760—2014）、《食品安全国家标准 食品中污染物限量》（GB 2762—2017）、《食品国家安全标准 酱腌菜》（GB 2714—2015）等标准及产品明示标准和质量要求。</w:t>
      </w:r>
    </w:p>
    <w:p>
      <w:pPr>
        <w:widowControl/>
        <w:tabs>
          <w:tab w:val="right" w:pos="8306"/>
        </w:tabs>
        <w:spacing w:line="52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  <w:t>（二）检验项目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1.酱腌菜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抽检项目为：铅（以Pb计）、阿斯巴甜、苯甲酸及其钠盐（以苯甲酸计）、防腐剂混合使用时各自用量占其最大使用量的比例之和、纽甜、三氯蔗糖、山梨酸及其钾盐（以山梨酸计）、糖精钠（以糖精计）、甜蜜素（以环己基氨基磺酸计）、脱氢乙酸及其钠盐（以脱氢乙酸计）、大肠菌群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。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2.腌渍食用菌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抽检项目为：苯甲酸及其钠盐（以苯甲酸计）、二氧化硫残留量、防腐剂混合使用时各自用量占其最大使用量的比例之和、山梨酸及其钾盐（以山梨酸计）、脱氢乙酸及其钠盐（以脱氢乙酸计）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。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十四、水果制品</w:t>
      </w:r>
    </w:p>
    <w:p>
      <w:pPr>
        <w:pStyle w:val="11"/>
        <w:spacing w:line="520" w:lineRule="exact"/>
        <w:ind w:firstLine="636"/>
        <w:jc w:val="both"/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</w:rPr>
        <w:t>《食品安全国家标准 食品添加剂使用标准》（GB 2760—2014）、《食品安全国家标准 食品中污染物限量》（GB 2762—2017）、《食品安全国家标准 食品中农药最大残留限量》（GB 2763—2019）、《食品安全国家标准 蜜饯》（GB 14884—2016）、等标准及产品明示标准和质量要求。</w:t>
      </w:r>
    </w:p>
    <w:p>
      <w:pPr>
        <w:widowControl/>
        <w:tabs>
          <w:tab w:val="right" w:pos="8306"/>
        </w:tabs>
        <w:spacing w:line="52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  <w:t>（二）检验项目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1.蜜饯类、凉果类、果脯类、话化类、果糕类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抽检项目为：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。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2.水果干制品</w:t>
      </w:r>
      <w:r>
        <w:rPr>
          <w:rFonts w:hint="eastAsia" w:ascii="Times New Roman" w:cs="Times New Roman"/>
          <w:b w:val="0"/>
          <w:bCs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含干枸杞</w:t>
      </w:r>
      <w:r>
        <w:rPr>
          <w:rFonts w:hint="eastAsia" w:ascii="Times New Roman" w:cs="Times New Roman"/>
          <w:b w:val="0"/>
          <w:bCs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抽检项目为：铅（以Pb计）、哒螨灵、啶虫脒、氯氰菊酯和高效氯氰菊酯、唑螨酯、肟菌酯、噁唑菌酮、山梨酸及其钾盐（以山梨酸计）、糖精钠（以糖精计）、菌落总数、大肠菌群、霉菌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。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十五、饮料</w:t>
      </w:r>
    </w:p>
    <w:p>
      <w:pPr>
        <w:pStyle w:val="11"/>
        <w:spacing w:line="520" w:lineRule="exact"/>
        <w:ind w:firstLine="636"/>
        <w:jc w:val="both"/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</w:rPr>
        <w:t>《食品安全国家标准 食品中污染物限量》（GB 2762—2017）、《食品安全国家标准 包装饮用水》（GB 19298—2014）、等标准及产品明示标准和质量要求。</w:t>
      </w:r>
    </w:p>
    <w:p>
      <w:pPr>
        <w:widowControl/>
        <w:tabs>
          <w:tab w:val="right" w:pos="8306"/>
        </w:tabs>
        <w:spacing w:line="52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  <w:t>（二）检验项目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其他饮用水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抽检项目为：浑浊度、耗氧量（以O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计）、亚硝酸盐（以NO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-计）、余氯（游离氯）、三氯甲烷、溴酸盐、大肠菌群、铜绿假单胞菌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。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十六、保健食品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</w:rPr>
        <w:t xml:space="preserve">《食品安全国家标准 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eastAsia="zh-CN"/>
        </w:rPr>
        <w:t>保健食品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</w:rPr>
        <w:t xml:space="preserve">》（GB 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16740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</w:rPr>
        <w:t>—201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eastAsia="zh-CN"/>
        </w:rPr>
        <w:t>、《中国药典》（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2015年版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</w:rPr>
        <w:t>等标准及产品明示标准和质量要求。</w:t>
      </w:r>
    </w:p>
    <w:p>
      <w:pPr>
        <w:widowControl/>
        <w:tabs>
          <w:tab w:val="right" w:pos="8306"/>
        </w:tabs>
        <w:spacing w:line="52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  <w:t>（二）检验项目</w:t>
      </w:r>
    </w:p>
    <w:p>
      <w:pPr>
        <w:pStyle w:val="11"/>
        <w:spacing w:line="520" w:lineRule="exact"/>
        <w:ind w:firstLine="636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保健食品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抽检项目为：功效/标志性成分、水分、可溶性固形物、酸价、过氧化值、崩解时限、铅（Pb）、总砷（As）、总汞（Hg）、胶囊壳中的铬、西布曲明、N-单去甲基西布曲明、N，N-双去甲基西布曲明、麻黄碱、芬氟拉明、酚酞、甲苯磺丁脲、格列苯脲、格列齐特、格列吡嗪、格列喹酮、格列美脲、马来酸罗格列酮、瑞格列奈、盐酸吡格列酮、盐酸二甲双胍、盐酸苯乙双胍、盐酸丁二胍、格列波脲、那红地那非、红地那非、伐地那非、羟基豪莫西地那非、西地那非、豪莫西地那非、氨基他达拉非、他达拉非、硫代艾地那非、伪伐地那非、那莫西地那非、地西泮、硝西泮、氯硝西泮、氯氮卓、奥沙西泮、马来酸咪哒唑仑、劳拉西泮、艾司唑仑、阿普唑仑、三唑仑、巴比妥、苯巴比妥、异戊巴比妥、司可巴比妥、氯美扎酮、佐匹克隆、氯苯那敏、扎来普隆、文拉法辛、青藤碱、罗通定、阿替洛尔、盐酸可乐定、氢氯噻嗪、卡托普利、哌唑嗪、利血平、硝苯地平、氨氯地平、尼群地平、尼莫地平、尼索地平、非洛地平、菌落总数、大肠菌群、霉菌和酵母、金黄色葡萄球菌、沙门氏菌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。</w:t>
      </w:r>
    </w:p>
    <w:p>
      <w:pPr>
        <w:pStyle w:val="11"/>
        <w:rPr>
          <w:rFonts w:hint="default" w:ascii="Times New Roman" w:hAnsi="Times New Roman" w:cs="Times New Roman"/>
          <w:b w:val="0"/>
          <w:bCs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41" w:right="1531" w:bottom="2041" w:left="1531" w:header="851" w:footer="992" w:gutter="0"/>
          <w:pgNumType w:fmt="numberInDash"/>
          <w:cols w:space="720" w:num="1"/>
          <w:docGrid w:linePitch="312" w:charSpace="0"/>
        </w:sectPr>
      </w:pPr>
      <w:bookmarkStart w:id="0" w:name="_GoBack"/>
      <w:bookmarkEnd w:id="0"/>
    </w:p>
    <w:p>
      <w:pPr>
        <w:rPr>
          <w:rFonts w:hint="default"/>
          <w:b w:val="0"/>
          <w:bCs/>
          <w:kern w:val="2"/>
          <w:sz w:val="21"/>
          <w:szCs w:val="24"/>
          <w:lang w:val="en-US" w:eastAsia="zh-CN" w:bidi="ar-SA"/>
        </w:rPr>
      </w:pPr>
    </w:p>
    <w:sectPr>
      <w:headerReference r:id="rId7" w:type="default"/>
      <w:footerReference r:id="rId8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gency FB">
    <w:panose1 w:val="020B0503020202020204"/>
    <w:charset w:val="00"/>
    <w:family w:val="swiss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830"/>
        <w:tab w:val="right" w:pos="8844"/>
      </w:tabs>
      <w:jc w:val="right"/>
      <w:rPr>
        <w:rFonts w:hint="eastAsia"/>
        <w:kern w:val="28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tabs>
                              <w:tab w:val="left" w:pos="7830"/>
                              <w:tab w:val="right" w:pos="8844"/>
                            </w:tabs>
                            <w:jc w:val="right"/>
                          </w:pPr>
                          <w:r>
                            <w:rPr>
                              <w:kern w:val="28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kern w:val="28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pacing w:val="40"/>
                              <w:kern w:val="2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仿宋_GB2312"/>
                              <w:kern w:val="28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仿宋_GB2312"/>
                              <w:kern w:val="28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eastAsia="仿宋_GB2312"/>
                              <w:kern w:val="28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仿宋_GB2312"/>
                              <w:kern w:val="28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eastAsia="仿宋_GB2312"/>
                              <w:kern w:val="28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pacing w:val="40"/>
                              <w:kern w:val="2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kern w:val="28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tabs>
                        <w:tab w:val="left" w:pos="7830"/>
                        <w:tab w:val="right" w:pos="8844"/>
                      </w:tabs>
                      <w:jc w:val="right"/>
                    </w:pPr>
                    <w:r>
                      <w:rPr>
                        <w:kern w:val="28"/>
                        <w:sz w:val="28"/>
                        <w:szCs w:val="28"/>
                      </w:rPr>
                      <w:tab/>
                    </w:r>
                    <w:r>
                      <w:rPr>
                        <w:kern w:val="28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pacing w:val="40"/>
                        <w:kern w:val="2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仿宋_GB2312"/>
                        <w:kern w:val="28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仿宋_GB2312"/>
                        <w:kern w:val="28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eastAsia="仿宋_GB2312"/>
                        <w:kern w:val="28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仿宋_GB2312"/>
                        <w:kern w:val="28"/>
                        <w:sz w:val="28"/>
                        <w:szCs w:val="28"/>
                      </w:rPr>
                      <w:t>5</w:t>
                    </w:r>
                    <w:r>
                      <w:rPr>
                        <w:rFonts w:eastAsia="仿宋_GB2312"/>
                        <w:kern w:val="28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pacing w:val="40"/>
                        <w:kern w:val="2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kern w:val="28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left="4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560"/>
      <w:rPr>
        <w:rFonts w:hint="eastAsia"/>
        <w:kern w:val="28"/>
        <w:sz w:val="28"/>
        <w:szCs w:val="28"/>
      </w:rPr>
    </w:pPr>
    <w:r>
      <w:rPr>
        <w:kern w:val="28"/>
        <w:sz w:val="28"/>
        <w:szCs w:val="28"/>
      </w:rPr>
      <w:t>—</w:t>
    </w:r>
    <w:r>
      <w:rPr>
        <w:rFonts w:hint="eastAsia"/>
        <w:spacing w:val="40"/>
        <w:kern w:val="28"/>
        <w:sz w:val="28"/>
        <w:szCs w:val="28"/>
      </w:rPr>
      <w:t xml:space="preserve"> </w:t>
    </w:r>
    <w:r>
      <w:rPr>
        <w:kern w:val="28"/>
        <w:sz w:val="28"/>
        <w:szCs w:val="28"/>
      </w:rPr>
      <w:fldChar w:fldCharType="begin"/>
    </w:r>
    <w:r>
      <w:rPr>
        <w:kern w:val="28"/>
        <w:sz w:val="28"/>
        <w:szCs w:val="28"/>
      </w:rPr>
      <w:instrText xml:space="preserve"> PAGE </w:instrText>
    </w:r>
    <w:r>
      <w:rPr>
        <w:kern w:val="28"/>
        <w:sz w:val="28"/>
        <w:szCs w:val="28"/>
      </w:rPr>
      <w:fldChar w:fldCharType="separate"/>
    </w:r>
    <w:r>
      <w:rPr>
        <w:kern w:val="28"/>
        <w:sz w:val="28"/>
        <w:szCs w:val="28"/>
      </w:rPr>
      <w:t>12</w:t>
    </w:r>
    <w:r>
      <w:rPr>
        <w:kern w:val="28"/>
        <w:sz w:val="28"/>
        <w:szCs w:val="28"/>
      </w:rPr>
      <w:fldChar w:fldCharType="end"/>
    </w:r>
    <w:r>
      <w:rPr>
        <w:rFonts w:hint="eastAsia"/>
        <w:spacing w:val="40"/>
        <w:kern w:val="28"/>
        <w:sz w:val="28"/>
        <w:szCs w:val="28"/>
      </w:rPr>
      <w:t xml:space="preserve"> </w:t>
    </w:r>
    <w:r>
      <w:rPr>
        <w:kern w:val="28"/>
        <w:sz w:val="28"/>
        <w:szCs w:val="28"/>
      </w:rPr>
      <w:t>—</w: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05F9B"/>
    <w:rsid w:val="00000AAB"/>
    <w:rsid w:val="000249FB"/>
    <w:rsid w:val="000537A9"/>
    <w:rsid w:val="00073318"/>
    <w:rsid w:val="000C7AEA"/>
    <w:rsid w:val="00106808"/>
    <w:rsid w:val="0014777D"/>
    <w:rsid w:val="00163DD4"/>
    <w:rsid w:val="00185374"/>
    <w:rsid w:val="001A50BC"/>
    <w:rsid w:val="001C7A08"/>
    <w:rsid w:val="001F4F76"/>
    <w:rsid w:val="0021582F"/>
    <w:rsid w:val="00236421"/>
    <w:rsid w:val="00285B42"/>
    <w:rsid w:val="002A25F2"/>
    <w:rsid w:val="002D7EE1"/>
    <w:rsid w:val="002E4094"/>
    <w:rsid w:val="002E5992"/>
    <w:rsid w:val="002F7EA8"/>
    <w:rsid w:val="00334863"/>
    <w:rsid w:val="0033699A"/>
    <w:rsid w:val="0035586B"/>
    <w:rsid w:val="00367DC0"/>
    <w:rsid w:val="00374820"/>
    <w:rsid w:val="00397DEF"/>
    <w:rsid w:val="003B1EA6"/>
    <w:rsid w:val="003C4F4A"/>
    <w:rsid w:val="003D4E38"/>
    <w:rsid w:val="0043782C"/>
    <w:rsid w:val="00454A91"/>
    <w:rsid w:val="00454F87"/>
    <w:rsid w:val="004B00A2"/>
    <w:rsid w:val="004D6453"/>
    <w:rsid w:val="0050744A"/>
    <w:rsid w:val="005145CB"/>
    <w:rsid w:val="00541EA9"/>
    <w:rsid w:val="00551A9E"/>
    <w:rsid w:val="00584F5D"/>
    <w:rsid w:val="005C2E24"/>
    <w:rsid w:val="005E3085"/>
    <w:rsid w:val="00606870"/>
    <w:rsid w:val="00611CD3"/>
    <w:rsid w:val="00614EA6"/>
    <w:rsid w:val="00620720"/>
    <w:rsid w:val="00622E4E"/>
    <w:rsid w:val="0063679C"/>
    <w:rsid w:val="00675C47"/>
    <w:rsid w:val="00696CEA"/>
    <w:rsid w:val="00697A2F"/>
    <w:rsid w:val="006D36C9"/>
    <w:rsid w:val="007210A1"/>
    <w:rsid w:val="00722EF9"/>
    <w:rsid w:val="00734310"/>
    <w:rsid w:val="00746AF9"/>
    <w:rsid w:val="00751A54"/>
    <w:rsid w:val="00752BF6"/>
    <w:rsid w:val="007756DC"/>
    <w:rsid w:val="0082244C"/>
    <w:rsid w:val="0084253C"/>
    <w:rsid w:val="00892A24"/>
    <w:rsid w:val="008B4C47"/>
    <w:rsid w:val="00906E30"/>
    <w:rsid w:val="0097458A"/>
    <w:rsid w:val="00A01288"/>
    <w:rsid w:val="00A448C8"/>
    <w:rsid w:val="00A44966"/>
    <w:rsid w:val="00A75E58"/>
    <w:rsid w:val="00AB2C03"/>
    <w:rsid w:val="00AC3151"/>
    <w:rsid w:val="00AD5324"/>
    <w:rsid w:val="00B04E5E"/>
    <w:rsid w:val="00B17263"/>
    <w:rsid w:val="00B33D53"/>
    <w:rsid w:val="00BB744D"/>
    <w:rsid w:val="00BF2490"/>
    <w:rsid w:val="00C206FF"/>
    <w:rsid w:val="00C8585B"/>
    <w:rsid w:val="00C90EB4"/>
    <w:rsid w:val="00CB545D"/>
    <w:rsid w:val="00CD27CE"/>
    <w:rsid w:val="00CD2919"/>
    <w:rsid w:val="00D424D4"/>
    <w:rsid w:val="00D455A0"/>
    <w:rsid w:val="00D90A94"/>
    <w:rsid w:val="00E1223C"/>
    <w:rsid w:val="00E20A29"/>
    <w:rsid w:val="00E31F68"/>
    <w:rsid w:val="00E433DA"/>
    <w:rsid w:val="00E9171D"/>
    <w:rsid w:val="00E94B07"/>
    <w:rsid w:val="00EF5F79"/>
    <w:rsid w:val="00F32E71"/>
    <w:rsid w:val="00F82481"/>
    <w:rsid w:val="00F934D6"/>
    <w:rsid w:val="00F95BBE"/>
    <w:rsid w:val="00F974E0"/>
    <w:rsid w:val="00FB0400"/>
    <w:rsid w:val="00FB45A9"/>
    <w:rsid w:val="07AD195E"/>
    <w:rsid w:val="0B5020F5"/>
    <w:rsid w:val="0E882A7E"/>
    <w:rsid w:val="125D7EEA"/>
    <w:rsid w:val="15F35DFF"/>
    <w:rsid w:val="1A8F3A1D"/>
    <w:rsid w:val="1EC0128D"/>
    <w:rsid w:val="22F32580"/>
    <w:rsid w:val="23905F9B"/>
    <w:rsid w:val="29634749"/>
    <w:rsid w:val="2B593578"/>
    <w:rsid w:val="2E274329"/>
    <w:rsid w:val="350A1E17"/>
    <w:rsid w:val="380E1EB4"/>
    <w:rsid w:val="3BB96F16"/>
    <w:rsid w:val="42303035"/>
    <w:rsid w:val="4A600036"/>
    <w:rsid w:val="4BBC04B2"/>
    <w:rsid w:val="510B0B1A"/>
    <w:rsid w:val="58F2324B"/>
    <w:rsid w:val="5932370D"/>
    <w:rsid w:val="5B296CFE"/>
    <w:rsid w:val="5B35461C"/>
    <w:rsid w:val="5F6B11FA"/>
    <w:rsid w:val="61F62557"/>
    <w:rsid w:val="641813CD"/>
    <w:rsid w:val="66633700"/>
    <w:rsid w:val="66E44CA1"/>
    <w:rsid w:val="692961B1"/>
    <w:rsid w:val="6B690104"/>
    <w:rsid w:val="6BBC4ACC"/>
    <w:rsid w:val="74514733"/>
    <w:rsid w:val="76AB4D86"/>
    <w:rsid w:val="771E65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rFonts w:ascii="Agency FB" w:hAnsi="Agency FB" w:eastAsia="宋体" w:cs="Times New Roman"/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rFonts w:ascii="Agency FB" w:hAnsi="Agency FB" w:eastAsia="宋体" w:cs="Times New Roman"/>
      <w:b/>
    </w:rPr>
  </w:style>
  <w:style w:type="character" w:styleId="9">
    <w:name w:val="page number"/>
    <w:basedOn w:val="7"/>
    <w:qFormat/>
    <w:uiPriority w:val="0"/>
    <w:rPr>
      <w:rFonts w:ascii="Times New Roman" w:hAnsi="Times New Roman" w:eastAsia="宋体" w:cs="Times New Roman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2">
    <w:name w:val=" Char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3">
    <w:name w:val=" Char Char1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26.130.129\OAIII_I\202012\&#20237;&#38634;&#23792;20201201170401\&#27491;&#25991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正文.doc</Template>
  <Pages>27</Pages>
  <Words>10719</Words>
  <Characters>12757</Characters>
  <Lines>1</Lines>
  <Paragraphs>1</Paragraphs>
  <TotalTime>1</TotalTime>
  <ScaleCrop>false</ScaleCrop>
  <LinksUpToDate>false</LinksUpToDate>
  <CharactersWithSpaces>12882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2020-12-03T08:48:00Z</dcterms:created>
  <dc:creator>雷海玲</dc:creator>
  <cp:lastModifiedBy>胡小雲 </cp:lastModifiedBy>
  <dcterms:modified xsi:type="dcterms:W3CDTF">2020-12-03T09:30:28Z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