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一、粮食加工品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食品中污染物限量》、GB 2761-2017食品安全国家标准 食品中真菌毒素限量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left="638" w:leftChars="304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检验项目为镉（以Cd计）、黄曲霉毒素B1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二、罐头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1.罐头检验项目为山梨酸及其钾盐（以山梨酸计）、苯甲酸及其钠盐（以苯甲酸计）、铬（以Cr计）、镉（以Cd计）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三、肉制品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1.酱卤肉制品检验项目为山梨酸及其钾盐（以山梨酸计）、脱氢乙酸及其钠盐（以脱氢乙酸计）、苯甲酸及其钠盐（以苯甲酸计）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四、糕点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抽检依据是《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1.糕点检验项目为苯甲酸及其钠盐（以苯甲酸计）、铝的残留量（干样品、以Al计）、铅（以Pb计）、山梨酸及其钾盐（以山梨酸计）、糖精钠（以糖精计）、脱氢乙酸及其钠盐（以脱氢乙酸计）。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五、速冻食品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color w:val="000000" w:themeColor="text1"/>
          <w:sz w:val="32"/>
        </w:rPr>
        <w:t>食品安全国家标准</w:t>
      </w:r>
      <w:r>
        <w:rPr>
          <w:rFonts w:ascii="仿宋" w:hAnsi="仿宋" w:eastAsia="仿宋"/>
          <w:color w:val="000000" w:themeColor="text1"/>
          <w:sz w:val="32"/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</w:rPr>
        <w:t>》、GB 19295-2011速冻面米食品安全要求、</w:t>
      </w:r>
      <w:r>
        <w:rPr>
          <w:rFonts w:hint="eastAsia" w:ascii="仿宋" w:hAnsi="仿宋" w:eastAsia="仿宋"/>
          <w:sz w:val="32"/>
        </w:rPr>
        <w:t>《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</w:t>
      </w:r>
      <w:r>
        <w:rPr>
          <w:rFonts w:hint="eastAsia" w:ascii="仿宋" w:hAnsi="仿宋" w:eastAsia="仿宋"/>
          <w:color w:val="000000" w:themeColor="text1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color w:val="000000" w:themeColor="text1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速冻食品检验项目为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糖精钠（以糖精计）、过氧化值（以脂肪计）、铅（以Pb计）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六、乳制品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抽检依据是GB 19302-2010、GB 2760-2014、卫生部、工业和信息化部、农业部、工商总局、质检总局公告2011年第10号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1.乳制品检验项目为蛋白质、三聚氰胺、酸度、脂肪、山梨酸及其钾盐（以山梨酸计）。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七、食用油、油脂及其制品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抽检依据是GB/T 8233-2018</w:t>
      </w:r>
      <w:r>
        <w:rPr>
          <w:rFonts w:hint="eastAsia" w:ascii="仿宋" w:hAnsi="仿宋" w:eastAsia="仿宋"/>
          <w:sz w:val="32"/>
          <w:lang w:eastAsia="zh-CN"/>
        </w:rPr>
        <w:t>、GB/T 1536-2004、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1.食用油、油脂及其制品检验项目为过氧化值、酸价（KOH）、特丁基对苯二酚（TBHQ)。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八、蔬菜制品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1.蔬菜制品检验项目为苯甲酸及其钠盐（以苯甲酸计）、防腐剂混合使用时各自用量占其最大使用量的比例之和、铅（以Pb计）、山梨酸及其钾盐（以山梨酸计）、脱氢乙酸及其钠盐（以脱氢乙酸计）。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九、调味品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抽检依据是GB/T 18187-2000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调味品检验项目为总酸（以乙酸计）、苯甲酸及其钠盐（以苯甲酸计）、过氧化值（以脂肪计）、铅（以Pb计）、山梨酸及其钾盐（以山梨酸计）、酸值（以KOH计）、脱氢乙酸及其钠盐（以脱氢乙酸计）、总酸（以乙酸计）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十、饮料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抽检依据是GB 19298-2014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1.饮料检验项目为亚硝酸盐（以NO₂-计）、大肠菌群*5、铜绿假单胞菌*5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十一、食用农产品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抽检依据是GB 31650-2019、农业农村部公告第250号、</w:t>
      </w:r>
      <w:r>
        <w:rPr>
          <w:rFonts w:hint="eastAsia" w:ascii="仿宋" w:hAnsi="仿宋" w:eastAsia="仿宋"/>
          <w:sz w:val="32"/>
          <w:lang w:eastAsia="zh-CN"/>
        </w:rPr>
        <w:t>农业部公告第2292号、农业部公告第560号、整顿办函〔2010〕50号等标准及产品明示标准和指标的要求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numPr>
          <w:ilvl w:val="0"/>
          <w:numId w:val="0"/>
        </w:numPr>
        <w:spacing w:line="560" w:lineRule="exact"/>
        <w:ind w:left="32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1、鲜蛋检验项目为恩诺沙星（以恩诺沙星与环丙沙星之和计）、氟苯尼考、氧氟沙星、氯霉素、诺氟沙星</w:t>
      </w:r>
    </w:p>
    <w:p>
      <w:pPr>
        <w:numPr>
          <w:ilvl w:val="0"/>
          <w:numId w:val="0"/>
        </w:numPr>
        <w:spacing w:line="560" w:lineRule="exact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2、畜肉检验项目为：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克伦特罗、氧氟沙星、氯霉素、沙丁胺醇、莱克多巴胺</w:t>
      </w:r>
    </w:p>
    <w:p>
      <w:pPr>
        <w:numPr>
          <w:ilvl w:val="0"/>
          <w:numId w:val="0"/>
        </w:num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3、水果检验项目：三唑磷、丙溴磷、克百威、氧乐果、水胺硫磷、苯醚甲环唑、多菌灵、甲胺磷、虫腈、联苯菊酯、辛硫磷、敌敌畏、氰戊菊酯和S-氰戊菊酯</w:t>
      </w:r>
    </w:p>
    <w:p>
      <w:pPr>
        <w:numPr>
          <w:ilvl w:val="0"/>
          <w:numId w:val="0"/>
        </w:numPr>
        <w:spacing w:line="560" w:lineRule="exact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4、蔬菜检验项目为：氧乐果、水胺硫磷、甲胺磷、敌敌畏、毒死蜱、氯氰菊酯和高效氯氰菊酯、甲拌磷水胺硫磷、毒死蜱、氟虫腈、亚硫酸盐(以SO2计)、镉（以Cd计）、铅、4-氯苯氧乙酸钠（以 4-氯苯氧乙酸计）、6-苄基腺嘌呤（6-BA）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0D513"/>
    <w:multiLevelType w:val="singleLevel"/>
    <w:tmpl w:val="5730D51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5082AAB"/>
    <w:rsid w:val="0A713B09"/>
    <w:rsid w:val="0C37346C"/>
    <w:rsid w:val="0D7D68C4"/>
    <w:rsid w:val="114B2D60"/>
    <w:rsid w:val="19173420"/>
    <w:rsid w:val="1BC31979"/>
    <w:rsid w:val="1C501063"/>
    <w:rsid w:val="23036CE8"/>
    <w:rsid w:val="293609AC"/>
    <w:rsid w:val="2EC47163"/>
    <w:rsid w:val="2F5E4339"/>
    <w:rsid w:val="32673D19"/>
    <w:rsid w:val="32DA12DB"/>
    <w:rsid w:val="340B7C74"/>
    <w:rsid w:val="35904B37"/>
    <w:rsid w:val="39A61DCE"/>
    <w:rsid w:val="3A550212"/>
    <w:rsid w:val="3D0E4CF3"/>
    <w:rsid w:val="3F6C599F"/>
    <w:rsid w:val="432E15F5"/>
    <w:rsid w:val="450E0C06"/>
    <w:rsid w:val="459E4818"/>
    <w:rsid w:val="48D37826"/>
    <w:rsid w:val="4ACC3D93"/>
    <w:rsid w:val="4BAF528E"/>
    <w:rsid w:val="4CE951AF"/>
    <w:rsid w:val="4D055090"/>
    <w:rsid w:val="504E5063"/>
    <w:rsid w:val="50F62D24"/>
    <w:rsid w:val="54A036FE"/>
    <w:rsid w:val="54BD7E38"/>
    <w:rsid w:val="59612BE8"/>
    <w:rsid w:val="59A74873"/>
    <w:rsid w:val="5A1C23C4"/>
    <w:rsid w:val="5A270918"/>
    <w:rsid w:val="5DEA1A45"/>
    <w:rsid w:val="5F126E38"/>
    <w:rsid w:val="6067193E"/>
    <w:rsid w:val="659C75FC"/>
    <w:rsid w:val="67C0789D"/>
    <w:rsid w:val="69BD2834"/>
    <w:rsid w:val="6FFC1059"/>
    <w:rsid w:val="77060618"/>
    <w:rsid w:val="7860099D"/>
    <w:rsid w:val="7A8041EE"/>
    <w:rsid w:val="7CFE0D05"/>
    <w:rsid w:val="7EC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6</TotalTime>
  <ScaleCrop>false</ScaleCrop>
  <LinksUpToDate>false</LinksUpToDate>
  <CharactersWithSpaces>3605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&amp;小主 &amp;</cp:lastModifiedBy>
  <dcterms:modified xsi:type="dcterms:W3CDTF">2020-10-22T08:20:06Z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