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黑体" w:hAnsi="黑体" w:eastAsia="黑体" w:cs="仿宋"/>
          <w:color w:val="00000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000000"/>
          <w:highlight w:val="none"/>
        </w:rPr>
        <w:t>附件</w:t>
      </w:r>
      <w:r>
        <w:rPr>
          <w:rFonts w:hint="eastAsia" w:ascii="黑体" w:hAnsi="黑体" w:eastAsia="黑体" w:cs="仿宋"/>
          <w:color w:val="000000"/>
          <w:highlight w:val="none"/>
          <w:lang w:val="en-US" w:eastAsia="zh-CN"/>
        </w:rPr>
        <w:t>14</w:t>
      </w:r>
    </w:p>
    <w:p>
      <w:pPr>
        <w:spacing w:line="590" w:lineRule="exact"/>
        <w:rPr>
          <w:rFonts w:hint="eastAsia" w:ascii="黑体" w:hAnsi="黑体" w:eastAsia="黑体" w:cs="仿宋"/>
          <w:color w:val="000000"/>
          <w:highlight w:val="none"/>
          <w:lang w:val="en-US" w:eastAsia="zh-CN"/>
        </w:rPr>
      </w:pP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关于部分检验项目的说明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  <w:color w:val="000000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/>
          <w:color w:val="000000"/>
          <w:highlight w:val="none"/>
        </w:rPr>
      </w:pPr>
      <w:r>
        <w:rPr>
          <w:rFonts w:hint="eastAsia" w:ascii="黑体" w:hAnsi="黑体" w:eastAsia="黑体"/>
          <w:color w:val="000000"/>
          <w:highlight w:val="none"/>
          <w:lang w:eastAsia="zh-CN"/>
        </w:rPr>
        <w:t>一</w:t>
      </w:r>
      <w:r>
        <w:rPr>
          <w:rFonts w:hint="eastAsia" w:ascii="黑体" w:hAnsi="黑体" w:eastAsia="黑体"/>
          <w:color w:val="000000"/>
          <w:highlight w:val="none"/>
        </w:rPr>
        <w:t>、</w:t>
      </w:r>
      <w:r>
        <w:rPr>
          <w:rFonts w:hint="eastAsia" w:ascii="黑体" w:hAnsi="黑体" w:eastAsia="黑体"/>
          <w:color w:val="000000"/>
          <w:highlight w:val="none"/>
          <w:lang w:eastAsia="zh-CN"/>
        </w:rPr>
        <w:t>克百威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000000"/>
          <w:highlight w:val="none"/>
          <w:lang w:eastAsia="zh-CN"/>
        </w:rPr>
      </w:pPr>
      <w:r>
        <w:rPr>
          <w:rFonts w:hint="eastAsia" w:ascii="Times New Roman" w:hAnsi="Times New Roman" w:eastAsia="仿宋_GB2312"/>
          <w:color w:val="000000"/>
          <w:highlight w:val="none"/>
        </w:rPr>
        <w:t>克百威是一种广谱、高效、低残留、高毒性的氨基甲酸酯类杀虫、杀螨、杀线虫剂，具有内吸、触杀、胃毒作用，并有一定的杀卵作用。《食品安全国家标准 食品中农药最大残留限量》（GB</w:t>
      </w:r>
      <w:r>
        <w:rPr>
          <w:rFonts w:hint="eastAsia" w:ascii="Times New Roman" w:hAnsi="Times New Roman" w:eastAsia="仿宋_GB2312"/>
          <w:color w:val="000000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000000"/>
          <w:highlight w:val="none"/>
        </w:rPr>
        <w:t>2763</w:t>
      </w:r>
      <w:r>
        <w:rPr>
          <w:rFonts w:hint="eastAsia" w:ascii="Times New Roman" w:hAnsi="Times New Roman" w:eastAsia="仿宋_GB2312"/>
          <w:color w:val="000000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color w:val="000000"/>
          <w:highlight w:val="none"/>
        </w:rPr>
        <w:t>2019）中规定，克百威在豆类蔬菜中的最大残留限量为0.02mg/kg。克百威不易降解，容易造成环境污染。少量的农药残留不会引起人体急性中毒，但长期食用农药残留超标的食品，对人体健康有一定影响。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/>
          <w:color w:val="000000"/>
          <w:highlight w:val="none"/>
        </w:rPr>
      </w:pPr>
      <w:r>
        <w:rPr>
          <w:rFonts w:hint="eastAsia" w:ascii="黑体" w:hAnsi="黑体" w:eastAsia="黑体"/>
          <w:color w:val="000000"/>
          <w:highlight w:val="none"/>
          <w:lang w:eastAsia="zh-CN"/>
        </w:rPr>
        <w:t>二</w:t>
      </w:r>
      <w:r>
        <w:rPr>
          <w:rFonts w:hint="eastAsia" w:ascii="黑体" w:hAnsi="黑体" w:eastAsia="黑体"/>
          <w:color w:val="000000"/>
          <w:highlight w:val="none"/>
        </w:rPr>
        <w:t>、</w:t>
      </w:r>
      <w:r>
        <w:rPr>
          <w:rFonts w:hint="eastAsia" w:ascii="黑体" w:hAnsi="黑体" w:eastAsia="黑体"/>
          <w:color w:val="000000"/>
          <w:highlight w:val="none"/>
          <w:lang w:eastAsia="zh-CN"/>
        </w:rPr>
        <w:t>氯霉素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000000"/>
          <w:highlight w:val="none"/>
          <w:lang w:eastAsia="zh-CN"/>
        </w:rPr>
      </w:pPr>
      <w:r>
        <w:rPr>
          <w:rFonts w:hint="eastAsia" w:ascii="Times New Roman" w:hAnsi="Times New Roman" w:eastAsia="仿宋_GB2312"/>
          <w:color w:val="000000"/>
          <w:highlight w:val="none"/>
        </w:rPr>
        <w:t>氯霉素是一种杀菌剂，也是高效广谱的抗生素，对革兰氏阳性菌和革兰氏阴性菌均有较好的抑制作用。《食品动物中禁止使用的药品及其他化合物清单》（农业农村部公告第250号）中规定，氯霉素为禁止使用的药物，在动物性食品中不得检出。长期食用检出氯霉素的食品可能引起肠道菌群失调，导致消化机能紊乱。人体过量摄入氯霉素可能引起人肝脏和骨髓造血机能的损害，导致再生障碍性贫血和血小板减少、肝损伤等健康危害</w:t>
      </w:r>
      <w:r>
        <w:rPr>
          <w:rFonts w:hint="eastAsia" w:ascii="Times New Roman" w:hAnsi="Times New Roman" w:eastAsia="仿宋_GB2312"/>
          <w:color w:val="000000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/>
          <w:color w:val="000000"/>
          <w:highlight w:val="none"/>
        </w:rPr>
      </w:pPr>
      <w:r>
        <w:rPr>
          <w:rFonts w:hint="eastAsia" w:ascii="黑体" w:hAnsi="黑体" w:eastAsia="黑体"/>
          <w:color w:val="000000"/>
          <w:highlight w:val="none"/>
          <w:lang w:eastAsia="zh-CN"/>
        </w:rPr>
        <w:t>三</w:t>
      </w:r>
      <w:r>
        <w:rPr>
          <w:rFonts w:hint="eastAsia" w:ascii="黑体" w:hAnsi="黑体" w:eastAsia="黑体"/>
          <w:color w:val="000000"/>
          <w:highlight w:val="none"/>
        </w:rPr>
        <w:t>、</w:t>
      </w:r>
      <w:r>
        <w:rPr>
          <w:rFonts w:hint="eastAsia" w:ascii="黑体" w:hAnsi="黑体" w:eastAsia="黑体"/>
          <w:color w:val="000000"/>
          <w:highlight w:val="none"/>
          <w:lang w:eastAsia="zh-CN"/>
        </w:rPr>
        <w:t>呋喃唑酮代谢物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000000"/>
          <w:highlight w:val="none"/>
          <w:lang w:eastAsia="zh-CN"/>
        </w:rPr>
      </w:pPr>
      <w:r>
        <w:rPr>
          <w:rFonts w:hint="eastAsia" w:ascii="Times New Roman" w:hAnsi="Times New Roman" w:eastAsia="仿宋_GB2312"/>
          <w:color w:val="000000"/>
          <w:highlight w:val="none"/>
        </w:rPr>
        <w:t>呋喃唑酮是硝基呋喃类广谱抗生素，曾广泛应用于畜禽及水产养殖业。硝基呋喃类原型药在生物体内代谢迅速，其代谢物因与蛋白质结合而相当稳定，故常利用对其代谢物的检测来反映硝基呋喃类药物的残留状况。《食品动物中禁止使用的药品及其他化合物清单》（农业农村部公告第250号）中规定，呋喃唑酮为禁止使用的药物，在动物性食品中不得检出。硝基呋喃类药物及其代谢物可引起溶血性贫血、多发性神经炎、眼部损害等疾病。长期食用检出呋喃唑酮代谢物的食品，可能会对人体健康有一定影响</w:t>
      </w:r>
      <w:r>
        <w:rPr>
          <w:rFonts w:hint="eastAsia" w:ascii="Times New Roman" w:hAnsi="Times New Roman" w:eastAsia="仿宋_GB2312"/>
          <w:color w:val="000000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黑体" w:hAnsi="黑体" w:eastAsia="黑体"/>
          <w:color w:val="000000"/>
          <w:highlight w:val="none"/>
          <w:lang w:eastAsia="zh-CN"/>
        </w:rPr>
        <w:t>铜绿假单胞菌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highlight w:val="none"/>
        </w:rPr>
        <w:t>铜绿假单胞菌是一种条件致病菌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广泛分布于各种水、空气、正常人的皮肤、呼吸道和肠道等，易在潮湿的环境存活。如果桶装水的消费周期较长，营养要求较低的铜绿假单胞菌可生长繁殖，可能会引起味道、气味和浊度的改变。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食品安全国家标准 饮用天然矿泉水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GB 8537-2018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中有相关规定，明确了铜绿假单胞菌在该类饮用水中的最大允许限。产品不合格的主要原因是水源带入，生产过程中工艺控制不严或者包装材料清洗消毒有缺陷。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金黄色葡萄球菌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highlight w:val="yellow"/>
        </w:rPr>
      </w:pP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金黄色葡萄球菌是一种革兰氏阳性需氧或兼性厌氧球菌，无动力，不产芽孢的食源性致病菌，其最适生长温度为37℃。金黄色葡萄球菌常寄生于人和动物的皮肤、鼻腔、咽喉、肠胃、痈、化脓性灶中，空气、污水等环境中也常会存在。作为一种常见的食源性致病微生物，金黄色葡萄球菌本身不会对人体健康产生危害，但它在繁殖过程中产生的肠毒素却是引发食物中毒的主要致病因子。一般说，金黄色葡萄球菌可通过以下途径污染食品：食品加工人员、炊事员或销售人员带菌，造成食品污染；食品在加工前本身带菌，或在加工过程中受到了污染等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酸价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酸价反映了油脂酸败的程度。在一般情况下，酸价略有升高不会对人体的健康产生损害，但如发生严重的变质时，所产生的醛、酮、酸会破坏脂溶性维生素，导致肠胃不适、腹泻等。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《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食品安全国家标准 糕点、面包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》（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GB 7099-2015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中规定，在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糕点、面包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中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酸价的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最大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限量值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为5mg/g。产品中不合格的主要原因是使用酸败的油等原料、加工过程控制不当或者储运不当造成。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过氧化值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过氧化值表示油脂和脂肪酸等被氧化程度的一种指标。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《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食品安全国家标准 糕点、面包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》（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GB 7099-2015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）和《食品安全国家标准 饼干》（GB 7100-2015）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中对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糕点和饼干</w:t>
      </w:r>
      <w:r>
        <w:rPr>
          <w:rFonts w:hint="default" w:ascii="Times New Roman" w:hAnsi="Times New Roman" w:eastAsia="仿宋_GB2312" w:cs="Times New Roman"/>
          <w:color w:val="000000"/>
          <w:highlight w:val="none"/>
          <w:lang w:eastAsia="zh-CN"/>
        </w:rPr>
        <w:t>过氧化值有相关规定。过氧化值用于说明样品是否因已被氧化而变质。那些以油脂、脂肪为原料而制作的食品，通过检测其过氧化值来判断其质量和变质程度。过氧化值反映了油脂酸败的程度。过氧化值高表明样品中油脂和脂肪酸等被氧化到了一定程度，吃起来有酸败、哈喇等异味，涩，口感差。一般情况下，过氧化值略有升高不会对人体的健康产生损害，但如发生严重的变质哈喇时，所产生的醛、酮、酸会破坏脂溶性维生素，导致肠胃不适、腹泻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F3266"/>
    <w:rsid w:val="26153BC5"/>
    <w:rsid w:val="3C3F3266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"/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2020-10-30T09:19:00Z</dcterms:created>
  <dc:creator>罗钰珊</dc:creator>
  <cp:lastModifiedBy>罗钰珊</cp:lastModifiedBy>
  <dcterms:modified xsi:type="dcterms:W3CDTF">2020-10-30T09:20:03Z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