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left"/>
        <w:textAlignment w:val="auto"/>
        <w:rPr>
          <w:rFonts w:hint="eastAsia" w:ascii="方正仿宋_GBK" w:eastAsia="方正仿宋_GBK"/>
          <w:b/>
          <w:sz w:val="32"/>
          <w:szCs w:val="32"/>
          <w:lang w:eastAsia="zh-CN"/>
        </w:rPr>
      </w:pPr>
      <w:r>
        <w:rPr>
          <w:rFonts w:hint="eastAsia" w:ascii="方正仿宋_GBK" w:eastAsia="方正仿宋_GBK"/>
          <w:b/>
          <w:sz w:val="32"/>
          <w:szCs w:val="32"/>
        </w:rPr>
        <w:t>附件</w:t>
      </w:r>
      <w:r>
        <w:rPr>
          <w:rFonts w:hint="eastAsia" w:ascii="方正仿宋_GBK" w:eastAsia="方正仿宋_GBK"/>
          <w:b/>
          <w:sz w:val="32"/>
          <w:szCs w:val="32"/>
          <w:lang w:val="en-US" w:eastAsia="zh-CN"/>
        </w:rPr>
        <w:t>1</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部分</w:t>
      </w:r>
      <w:r>
        <w:rPr>
          <w:rFonts w:hint="eastAsia" w:ascii="方正小标宋简体" w:hAnsi="方正小标宋简体" w:eastAsia="方正小标宋简体" w:cs="方正小标宋简体"/>
          <w:color w:val="000000"/>
          <w:sz w:val="44"/>
          <w:szCs w:val="44"/>
          <w:lang w:eastAsia="zh-CN"/>
        </w:rPr>
        <w:t>不合格</w:t>
      </w:r>
      <w:r>
        <w:rPr>
          <w:rFonts w:hint="eastAsia" w:ascii="方正小标宋简体" w:hAnsi="方正小标宋简体" w:eastAsia="方正小标宋简体" w:cs="方正小标宋简体"/>
          <w:color w:val="000000"/>
          <w:sz w:val="44"/>
          <w:szCs w:val="44"/>
        </w:rPr>
        <w:t>项目的</w:t>
      </w:r>
      <w:r>
        <w:rPr>
          <w:rFonts w:hint="eastAsia" w:ascii="方正小标宋简体" w:hAnsi="方正小标宋简体" w:eastAsia="方正小标宋简体" w:cs="方正小标宋简体"/>
          <w:color w:val="000000"/>
          <w:sz w:val="44"/>
          <w:szCs w:val="44"/>
          <w:lang w:eastAsia="zh-CN"/>
        </w:rPr>
        <w:t>小知识</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000000"/>
          <w:sz w:val="44"/>
          <w:szCs w:val="44"/>
        </w:rPr>
      </w:pPr>
    </w:p>
    <w:p>
      <w:pPr>
        <w:spacing w:line="600" w:lineRule="exact"/>
        <w:ind w:firstLine="592" w:firstLineChars="200"/>
        <w:rPr>
          <w:rFonts w:ascii="黑体" w:hAnsi="黑体" w:eastAsia="黑体"/>
          <w:color w:val="auto"/>
          <w:sz w:val="32"/>
          <w:szCs w:val="32"/>
        </w:rPr>
      </w:pPr>
      <w:r>
        <w:rPr>
          <w:rFonts w:hint="eastAsia" w:eastAsia="黑体"/>
          <w:color w:val="auto"/>
          <w:spacing w:val="-12"/>
          <w:sz w:val="32"/>
          <w:szCs w:val="32"/>
          <w:lang w:val="en-US" w:eastAsia="zh-CN"/>
        </w:rPr>
        <w:t>一、</w:t>
      </w:r>
      <w:r>
        <w:rPr>
          <w:rFonts w:hint="eastAsia" w:ascii="黑体" w:hAnsi="黑体" w:eastAsia="黑体"/>
          <w:color w:val="auto"/>
          <w:sz w:val="32"/>
          <w:szCs w:val="32"/>
        </w:rPr>
        <w:t>过氧化值</w:t>
      </w:r>
    </w:p>
    <w:p>
      <w:pPr>
        <w:spacing w:line="600" w:lineRule="exact"/>
        <w:ind w:firstLine="640" w:firstLineChars="200"/>
        <w:rPr>
          <w:rFonts w:ascii="仿宋_GB2312" w:eastAsia="仿宋_GB2312"/>
          <w:color w:val="auto"/>
          <w:sz w:val="32"/>
          <w:szCs w:val="32"/>
        </w:rPr>
      </w:pPr>
      <w:r>
        <w:rPr>
          <w:rFonts w:ascii="仿宋_GB2312" w:hAnsi="宋体" w:eastAsia="仿宋_GB2312"/>
          <w:color w:val="auto"/>
          <w:kern w:val="0"/>
          <w:sz w:val="32"/>
          <w:szCs w:val="32"/>
        </w:rPr>
        <w:t>过氧化值主要反映</w:t>
      </w:r>
      <w:r>
        <w:rPr>
          <w:rFonts w:hint="eastAsia" w:ascii="仿宋_GB2312" w:hAnsi="宋体" w:eastAsia="仿宋_GB2312"/>
          <w:color w:val="auto"/>
          <w:kern w:val="0"/>
          <w:sz w:val="32"/>
          <w:szCs w:val="32"/>
        </w:rPr>
        <w:t>食品中</w:t>
      </w:r>
      <w:r>
        <w:rPr>
          <w:rFonts w:ascii="仿宋_GB2312" w:hAnsi="宋体" w:eastAsia="仿宋_GB2312"/>
          <w:color w:val="auto"/>
          <w:kern w:val="0"/>
          <w:sz w:val="32"/>
          <w:szCs w:val="32"/>
        </w:rPr>
        <w:t>油脂是否氧化变质</w:t>
      </w:r>
      <w:r>
        <w:rPr>
          <w:rFonts w:hint="eastAsia" w:ascii="仿宋_GB2312" w:hAnsi="宋体" w:eastAsia="仿宋_GB2312"/>
          <w:color w:val="auto"/>
          <w:kern w:val="0"/>
          <w:sz w:val="32"/>
          <w:szCs w:val="32"/>
        </w:rPr>
        <w:t>，</w:t>
      </w:r>
      <w:r>
        <w:rPr>
          <w:rFonts w:ascii="仿宋_GB2312" w:hAnsi="宋体" w:eastAsia="仿宋_GB2312"/>
          <w:color w:val="auto"/>
          <w:kern w:val="0"/>
          <w:sz w:val="32"/>
          <w:szCs w:val="32"/>
        </w:rPr>
        <w:t>随着油脂氧化，过氧化值会逐步升高</w:t>
      </w:r>
      <w:r>
        <w:rPr>
          <w:rFonts w:hint="eastAsia" w:ascii="仿宋_GB2312" w:hAnsi="宋体" w:eastAsia="仿宋_GB2312"/>
          <w:color w:val="auto"/>
          <w:kern w:val="0"/>
          <w:sz w:val="32"/>
          <w:szCs w:val="32"/>
        </w:rPr>
        <w:t>。</w:t>
      </w:r>
      <w:r>
        <w:rPr>
          <w:rFonts w:ascii="仿宋_GB2312" w:eastAsia="仿宋_GB2312"/>
          <w:color w:val="auto"/>
          <w:sz w:val="32"/>
          <w:szCs w:val="32"/>
        </w:rPr>
        <w:t>过氧化值超标的原因可能是产品用油已经变质，或者产品在储存过程中环境条件控制不当，导致油脂酸败；也可能是原料中的脂肪已经氧化，原料储存不当，未采取有效的抗氧化措施，使得终产品油脂氧化。</w:t>
      </w:r>
      <w:r>
        <w:rPr>
          <w:rFonts w:ascii="仿宋_GB2312" w:hAnsi="宋体" w:eastAsia="仿宋_GB2312"/>
          <w:color w:val="auto"/>
          <w:kern w:val="0"/>
          <w:sz w:val="32"/>
          <w:szCs w:val="32"/>
        </w:rPr>
        <w:t>过氧化值一般不会对人体的健康产生损害，但严重时会导致肠胃不适、腹泻等症状。</w:t>
      </w:r>
    </w:p>
    <w:p>
      <w:pPr>
        <w:spacing w:line="594" w:lineRule="exact"/>
        <w:ind w:firstLine="592" w:firstLineChars="200"/>
        <w:rPr>
          <w:rFonts w:ascii="Times New Roman" w:hAnsi="Times New Roman" w:eastAsia="黑体" w:cs="Times New Roman"/>
          <w:spacing w:val="-12"/>
          <w:sz w:val="32"/>
          <w:szCs w:val="32"/>
        </w:rPr>
      </w:pPr>
      <w:r>
        <w:rPr>
          <w:rFonts w:hint="eastAsia" w:ascii="Times New Roman" w:hAnsi="Times New Roman" w:eastAsia="黑体" w:cs="Times New Roman"/>
          <w:spacing w:val="-12"/>
          <w:sz w:val="32"/>
          <w:szCs w:val="32"/>
          <w:lang w:val="en-US" w:eastAsia="zh-CN"/>
        </w:rPr>
        <w:t>二</w:t>
      </w:r>
      <w:r>
        <w:rPr>
          <w:rFonts w:ascii="Times New Roman" w:hAnsi="Times New Roman" w:eastAsia="黑体" w:cs="Times New Roman"/>
          <w:spacing w:val="-12"/>
          <w:sz w:val="32"/>
          <w:szCs w:val="32"/>
        </w:rPr>
        <w:t>、恩诺沙星</w:t>
      </w:r>
    </w:p>
    <w:p>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恩诺沙星属于氟喹诺酮类药物，是一类人工合成的广谱抗菌药，用于治疗动物的皮肤感染、呼吸道感染等，是动物专属用药。</w:t>
      </w:r>
      <w:r>
        <w:rPr>
          <w:rFonts w:hint="eastAsia" w:ascii="Times New Roman" w:hAnsi="Times New Roman" w:eastAsia="仿宋_GB2312" w:cs="Times New Roman"/>
          <w:sz w:val="32"/>
          <w:szCs w:val="32"/>
          <w:lang w:val="en-US" w:eastAsia="zh-CN"/>
        </w:rPr>
        <w:t>鱼</w:t>
      </w:r>
      <w:r>
        <w:rPr>
          <w:rFonts w:ascii="Times New Roman" w:hAnsi="Times New Roman" w:eastAsia="仿宋_GB2312" w:cs="Times New Roman"/>
          <w:sz w:val="32"/>
          <w:szCs w:val="32"/>
        </w:rPr>
        <w:t>中恩诺沙星超标</w:t>
      </w:r>
      <w:r>
        <w:rPr>
          <w:rFonts w:hint="eastAsia" w:ascii="Times New Roman" w:hAnsi="Times New Roman" w:eastAsia="仿宋_GB2312" w:cs="Times New Roman"/>
          <w:sz w:val="32"/>
          <w:szCs w:val="32"/>
        </w:rPr>
        <w:t>的原因，</w:t>
      </w:r>
      <w:r>
        <w:rPr>
          <w:rFonts w:ascii="Times New Roman" w:hAnsi="Times New Roman" w:eastAsia="仿宋_GB2312" w:cs="Times New Roman"/>
          <w:sz w:val="32"/>
          <w:szCs w:val="32"/>
        </w:rPr>
        <w:t>可能是养殖户在养殖过程中违规使用相关兽药。摄入恩诺沙星超标的食品，可能引起头晕、头痛、睡眠不良、胃肠道不适等症状，甚至还可能引起肝损害。</w:t>
      </w:r>
    </w:p>
    <w:p>
      <w:pPr>
        <w:keepNext w:val="0"/>
        <w:keepLines w:val="0"/>
        <w:pageBreakBefore w:val="0"/>
        <w:numPr>
          <w:ilvl w:val="0"/>
          <w:numId w:val="0"/>
        </w:numPr>
        <w:kinsoku/>
        <w:wordWrap/>
        <w:overflowPunct/>
        <w:topLinePunct w:val="0"/>
        <w:bidi w:val="0"/>
        <w:snapToGrid/>
        <w:spacing w:line="640" w:lineRule="exact"/>
        <w:ind w:firstLine="640" w:firstLineChars="200"/>
        <w:outlineLvl w:val="9"/>
        <w:rPr>
          <w:rFonts w:hint="eastAsia" w:ascii="Times New Roman" w:hAnsi="Times New Roman" w:eastAsia="黑体"/>
          <w:color w:val="auto"/>
          <w:kern w:val="0"/>
          <w:sz w:val="32"/>
          <w:szCs w:val="32"/>
          <w:lang w:eastAsia="zh-CN"/>
        </w:rPr>
      </w:pPr>
      <w:r>
        <w:rPr>
          <w:rFonts w:hint="eastAsia" w:ascii="黑体" w:hAnsi="黑体" w:eastAsia="黑体"/>
          <w:color w:val="auto"/>
          <w:sz w:val="32"/>
          <w:szCs w:val="32"/>
          <w:lang w:val="en-US" w:eastAsia="zh-CN"/>
        </w:rPr>
        <w:t>三</w:t>
      </w:r>
      <w:r>
        <w:rPr>
          <w:rFonts w:hint="eastAsia" w:ascii="黑体" w:hAnsi="黑体" w:eastAsia="黑体"/>
          <w:color w:val="auto"/>
          <w:sz w:val="32"/>
          <w:szCs w:val="32"/>
        </w:rPr>
        <w:t>、</w:t>
      </w:r>
      <w:r>
        <w:rPr>
          <w:rFonts w:hint="eastAsia" w:ascii="Times New Roman" w:hAnsi="Times New Roman" w:eastAsia="黑体"/>
          <w:color w:val="auto"/>
          <w:kern w:val="0"/>
          <w:sz w:val="32"/>
          <w:szCs w:val="32"/>
          <w:lang w:eastAsia="zh-CN"/>
        </w:rPr>
        <w:t>大肠菌群</w:t>
      </w:r>
    </w:p>
    <w:p>
      <w:pPr>
        <w:keepNext w:val="0"/>
        <w:keepLines w:val="0"/>
        <w:widowControl/>
        <w:suppressLineNumbers w:val="0"/>
        <w:ind w:firstLine="640" w:firstLineChars="200"/>
        <w:jc w:val="left"/>
        <w:rPr>
          <w:rFonts w:hint="eastAsia" w:ascii="仿宋_GB2312" w:eastAsia="仿宋_GB2312"/>
          <w:sz w:val="32"/>
          <w:szCs w:val="32"/>
        </w:rPr>
      </w:pPr>
      <w:r>
        <w:rPr>
          <w:rFonts w:hint="eastAsia" w:ascii="仿宋_GB2312" w:eastAsia="仿宋_GB2312"/>
          <w:color w:val="auto"/>
          <w:sz w:val="32"/>
          <w:szCs w:val="32"/>
        </w:rPr>
        <w:t>大肠菌群是国内外通用的食品污染常用指示菌之一。食品中检出大肠菌</w:t>
      </w:r>
      <w:r>
        <w:rPr>
          <w:rFonts w:hint="eastAsia" w:ascii="仿宋_GB2312" w:eastAsia="仿宋_GB2312"/>
          <w:sz w:val="32"/>
          <w:szCs w:val="32"/>
        </w:rPr>
        <w:t>群，提示被致病菌（如沙门氏菌、志贺氏菌、致病性大肠杆菌）污染的可能性较大。大肠菌群超标可能由于产品的加工原料、包装材料受污染，或在生产过程中产品受人员、工器具等生产设备、环境的污染、有灭菌工艺的产品灭菌不彻底而导致。</w:t>
      </w:r>
    </w:p>
    <w:p>
      <w:pPr>
        <w:ind w:firstLine="640" w:firstLineChars="200"/>
        <w:rPr>
          <w:rFonts w:hint="eastAsia" w:ascii="Times New Roman" w:hAnsi="Times New Roman" w:eastAsia="黑体"/>
          <w:color w:val="auto"/>
          <w:kern w:val="0"/>
          <w:sz w:val="32"/>
          <w:szCs w:val="32"/>
          <w:lang w:eastAsia="zh-CN"/>
        </w:rPr>
      </w:pPr>
      <w:r>
        <w:rPr>
          <w:rFonts w:hint="eastAsia" w:ascii="Times New Roman" w:hAnsi="Times New Roman" w:eastAsia="黑体"/>
          <w:color w:val="auto"/>
          <w:kern w:val="0"/>
          <w:sz w:val="32"/>
          <w:szCs w:val="32"/>
          <w:lang w:val="en-US" w:eastAsia="zh-CN"/>
        </w:rPr>
        <w:t>四、</w:t>
      </w:r>
      <w:r>
        <w:rPr>
          <w:rFonts w:hint="eastAsia" w:ascii="Times New Roman" w:hAnsi="Times New Roman" w:eastAsia="黑体"/>
          <w:color w:val="auto"/>
          <w:kern w:val="0"/>
          <w:sz w:val="32"/>
          <w:szCs w:val="32"/>
          <w:lang w:eastAsia="zh-CN"/>
        </w:rPr>
        <w:t>铜绿假单胞菌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黑体"/>
          <w:color w:val="auto"/>
          <w:kern w:val="0"/>
          <w:sz w:val="32"/>
          <w:szCs w:val="32"/>
          <w:lang w:eastAsia="zh-CN"/>
        </w:rPr>
      </w:pPr>
      <w:r>
        <w:rPr>
          <w:rFonts w:hint="eastAsia" w:ascii="仿宋_GB2312" w:eastAsia="仿宋_GB2312" w:hAnsiTheme="minorHAnsi" w:cstheme="minorBidi"/>
          <w:kern w:val="2"/>
          <w:sz w:val="32"/>
          <w:szCs w:val="32"/>
          <w:lang w:val="en-US" w:eastAsia="zh-CN" w:bidi="ar-SA"/>
        </w:rPr>
        <w:t>铜绿假单胞菌是一种常见的条件 致病菌，属于非发酵革兰氏阴性杆菌。本菌普遍存在，而在潮湿环境尤甚。饮用水中</w:t>
      </w:r>
      <w:r>
        <w:rPr>
          <w:rFonts w:hint="eastAsia" w:ascii="仿宋_GB2312" w:eastAsia="仿宋_GB2312" w:cstheme="minorBidi"/>
          <w:kern w:val="2"/>
          <w:sz w:val="32"/>
          <w:szCs w:val="32"/>
          <w:lang w:val="en-US" w:eastAsia="zh-CN" w:bidi="ar-SA"/>
        </w:rPr>
        <w:t>超标可能是由于个别企业</w:t>
      </w:r>
      <w:r>
        <w:rPr>
          <w:rFonts w:hint="eastAsia" w:ascii="仿宋_GB2312" w:eastAsia="仿宋_GB2312"/>
          <w:sz w:val="32"/>
          <w:szCs w:val="32"/>
        </w:rPr>
        <w:t>未按要求严格控制生产加工过程的卫生条件，或者包装容器清洗消毒不到位等有关。</w:t>
      </w:r>
    </w:p>
    <w:p>
      <w:pPr>
        <w:spacing w:line="600" w:lineRule="exact"/>
        <w:ind w:firstLine="592" w:firstLineChars="200"/>
        <w:rPr>
          <w:rFonts w:hint="eastAsia" w:ascii="黑体" w:hAnsi="黑体" w:eastAsia="黑体"/>
          <w:sz w:val="32"/>
          <w:szCs w:val="32"/>
          <w:lang w:val="en-US" w:eastAsia="zh-CN"/>
        </w:rPr>
      </w:pPr>
      <w:r>
        <w:rPr>
          <w:rFonts w:hint="eastAsia" w:eastAsia="黑体"/>
          <w:color w:val="auto"/>
          <w:spacing w:val="-12"/>
          <w:sz w:val="32"/>
          <w:szCs w:val="32"/>
          <w:lang w:val="en-US" w:eastAsia="zh-CN"/>
        </w:rPr>
        <w:t>五、</w:t>
      </w:r>
      <w:r>
        <w:rPr>
          <w:rFonts w:hint="eastAsia" w:ascii="黑体" w:hAnsi="黑体" w:eastAsia="黑体"/>
          <w:sz w:val="32"/>
          <w:szCs w:val="32"/>
          <w:lang w:val="en-US" w:eastAsia="zh-CN"/>
        </w:rPr>
        <w:t>防腐剂各自用量占其最大使用量比例之和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hint="eastAsia" w:ascii="仿宋_GB2312" w:hAnsi="ˎ̥" w:eastAsia="仿宋_GB2312" w:cs="Arial"/>
          <w:sz w:val="32"/>
          <w:szCs w:val="32"/>
          <w:lang w:val="en-US" w:eastAsia="zh-CN"/>
        </w:rPr>
      </w:pPr>
      <w:r>
        <w:rPr>
          <w:rFonts w:hint="eastAsia" w:ascii="Microsoft YaHei UI" w:hAnsi="Microsoft YaHei UI" w:eastAsia="Microsoft YaHei UI" w:cs="Microsoft YaHei UI"/>
          <w:b w:val="0"/>
          <w:i w:val="0"/>
          <w:caps w:val="0"/>
          <w:color w:val="38598B"/>
          <w:spacing w:val="23"/>
          <w:sz w:val="21"/>
          <w:szCs w:val="21"/>
          <w:shd w:val="clear" w:fill="FEFEFE"/>
        </w:rPr>
        <w:t xml:space="preserve">  </w:t>
      </w:r>
      <w:r>
        <w:rPr>
          <w:rFonts w:hint="eastAsia" w:ascii="仿宋_GB2312" w:eastAsia="仿宋_GB2312" w:hAnsiTheme="minorHAnsi" w:cstheme="minorBidi"/>
          <w:kern w:val="2"/>
          <w:sz w:val="32"/>
          <w:szCs w:val="32"/>
          <w:lang w:val="en-US" w:eastAsia="zh-CN" w:bidi="ar-SA"/>
        </w:rPr>
        <w:t>  防腐剂是指天然或合成的化学成分，用于加入食品以延迟微生物生长或化学变化引起的腐败。国家标准《食品安全国家标准 食品添加剂使用标准》</w:t>
      </w:r>
      <w:r>
        <w:rPr>
          <w:rFonts w:hint="eastAsia" w:ascii="Times New Roman" w:hAnsi="Times New Roman" w:eastAsia="仿宋_GB2312" w:cs="Times New Roman"/>
          <w:kern w:val="2"/>
          <w:sz w:val="32"/>
          <w:szCs w:val="32"/>
          <w:lang w:val="en-US" w:eastAsia="zh-CN" w:bidi="ar-SA"/>
        </w:rPr>
        <w:t>（GB 2760—2014）</w:t>
      </w:r>
      <w:r>
        <w:rPr>
          <w:rFonts w:hint="eastAsia" w:ascii="仿宋_GB2312" w:eastAsia="仿宋_GB2312" w:hAnsiTheme="minorHAnsi" w:cstheme="minorBidi"/>
          <w:kern w:val="2"/>
          <w:sz w:val="32"/>
          <w:szCs w:val="32"/>
          <w:lang w:val="en-US" w:eastAsia="zh-CN" w:bidi="ar-SA"/>
        </w:rPr>
        <w:t xml:space="preserve">中规定，防腐剂在混合使用时，各自用量占其最大使用量的比例之和不应超过 </w:t>
      </w:r>
      <w:bookmarkStart w:id="0" w:name="_GoBack"/>
      <w:r>
        <w:rPr>
          <w:rFonts w:hint="eastAsia" w:ascii="Times New Roman" w:hAnsi="Times New Roman" w:eastAsia="仿宋_GB2312" w:cs="Times New Roman"/>
          <w:kern w:val="2"/>
          <w:sz w:val="32"/>
          <w:szCs w:val="32"/>
          <w:lang w:val="en-US" w:eastAsia="zh-CN" w:bidi="ar-SA"/>
        </w:rPr>
        <w:t>1</w:t>
      </w:r>
      <w:bookmarkEnd w:id="0"/>
      <w:r>
        <w:rPr>
          <w:rFonts w:hint="eastAsia" w:ascii="仿宋_GB2312" w:eastAsia="仿宋_GB2312" w:hAnsiTheme="minorHAnsi" w:cstheme="minorBidi"/>
          <w:kern w:val="2"/>
          <w:sz w:val="32"/>
          <w:szCs w:val="32"/>
          <w:lang w:val="en-US" w:eastAsia="zh-CN" w:bidi="ar-SA"/>
        </w:rPr>
        <w:t>。食品中防腐剂各自用量占其最大使用量比例之和超标的原因，可能是企业在生产加工过程中未严格控制各防腐剂的用量造成的。防腐剂使用不当会有一定副效应，长期过量摄入可能会对消费者的身体健康造成一定损害。</w:t>
      </w:r>
    </w:p>
    <w:p>
      <w:pPr>
        <w:keepNext w:val="0"/>
        <w:keepLines w:val="0"/>
        <w:pageBreakBefore w:val="0"/>
        <w:kinsoku/>
        <w:wordWrap/>
        <w:overflowPunct/>
        <w:topLinePunct w:val="0"/>
        <w:autoSpaceDE/>
        <w:autoSpaceDN/>
        <w:bidi w:val="0"/>
        <w:spacing w:line="590" w:lineRule="exact"/>
        <w:ind w:firstLine="592" w:firstLineChars="200"/>
        <w:textAlignment w:val="auto"/>
        <w:rPr>
          <w:rFonts w:hint="eastAsia" w:ascii="黑体" w:hAnsi="黑体" w:eastAsia="黑体"/>
          <w:color w:val="auto"/>
          <w:sz w:val="32"/>
          <w:szCs w:val="32"/>
          <w:lang w:val="en-US" w:eastAsia="zh-CN"/>
        </w:rPr>
      </w:pPr>
      <w:r>
        <w:rPr>
          <w:rFonts w:hint="eastAsia" w:eastAsia="黑体"/>
          <w:color w:val="auto"/>
          <w:spacing w:val="-12"/>
          <w:sz w:val="32"/>
          <w:szCs w:val="32"/>
          <w:lang w:val="en-US" w:eastAsia="zh-CN"/>
        </w:rPr>
        <w:t>六、</w:t>
      </w:r>
      <w:r>
        <w:rPr>
          <w:rFonts w:hint="eastAsia" w:ascii="黑体" w:hAnsi="黑体" w:eastAsia="黑体"/>
          <w:color w:val="auto"/>
          <w:sz w:val="32"/>
          <w:szCs w:val="32"/>
          <w:lang w:val="en-US" w:eastAsia="zh-CN"/>
        </w:rPr>
        <w:t>霉菌</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pPr>
        <w:keepNext w:val="0"/>
        <w:keepLines w:val="0"/>
        <w:pageBreakBefore w:val="0"/>
        <w:kinsoku/>
        <w:wordWrap/>
        <w:overflowPunct/>
        <w:topLinePunct w:val="0"/>
        <w:autoSpaceDE/>
        <w:autoSpaceDN/>
        <w:bidi w:val="0"/>
        <w:spacing w:line="590" w:lineRule="exact"/>
        <w:ind w:firstLine="592" w:firstLineChars="200"/>
        <w:textAlignment w:val="auto"/>
        <w:rPr>
          <w:rFonts w:hint="eastAsia" w:ascii="黑体" w:hAnsi="黑体" w:eastAsia="黑体"/>
          <w:color w:val="auto"/>
          <w:sz w:val="32"/>
          <w:szCs w:val="32"/>
          <w:lang w:val="en-US" w:eastAsia="zh-CN"/>
        </w:rPr>
      </w:pPr>
      <w:r>
        <w:rPr>
          <w:rFonts w:hint="eastAsia" w:eastAsia="黑体"/>
          <w:color w:val="auto"/>
          <w:spacing w:val="-12"/>
          <w:sz w:val="32"/>
          <w:szCs w:val="32"/>
          <w:lang w:val="en-US" w:eastAsia="zh-CN"/>
        </w:rPr>
        <w:t>七、</w:t>
      </w:r>
      <w:r>
        <w:rPr>
          <w:rFonts w:hint="eastAsia" w:ascii="黑体" w:hAnsi="黑体" w:eastAsia="黑体"/>
          <w:color w:val="auto"/>
          <w:sz w:val="32"/>
          <w:szCs w:val="32"/>
          <w:lang w:val="en-US" w:eastAsia="zh-CN"/>
        </w:rPr>
        <w:t>敌敌畏</w:t>
      </w:r>
    </w:p>
    <w:p>
      <w:pPr>
        <w:spacing w:line="594" w:lineRule="exact"/>
        <w:ind w:firstLine="640" w:firstLineChars="200"/>
        <w:textAlignment w:val="baseline"/>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敌敌畏是一种广谱性杀虫、杀螨剂，具有触杀、胃毒和熏蒸作用。《食品安全国家标准食品中农药最大残留限量》</w:t>
      </w:r>
      <w:r>
        <w:rPr>
          <w:rFonts w:hint="eastAsia" w:ascii="Times New Roman" w:hAnsi="Times New Roman" w:eastAsia="仿宋_GB2312" w:cs="Times New Roman"/>
          <w:sz w:val="32"/>
          <w:szCs w:val="32"/>
          <w:lang w:val="en-US" w:eastAsia="zh-CN"/>
        </w:rPr>
        <w:t>（GB 2763-2016）</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中规定，敌敌畏在油桃中的最大残留限量为0.2mg/kg。敌敌畏挥发性强，对水体和大气可造成污染，易于通过呼吸道或皮肤进入动物或人体内。少量的农药残留不会引起人体急性中毒，但长期食用农药残留超标的食品，对人体健康有一定影响。</w:t>
      </w:r>
    </w:p>
    <w:p>
      <w:pPr>
        <w:spacing w:line="594" w:lineRule="exact"/>
        <w:ind w:firstLine="640" w:firstLineChars="200"/>
        <w:textAlignment w:val="baseline"/>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阴离子合成洗涤剂</w:t>
      </w:r>
    </w:p>
    <w:p>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阴离子合成洗涤剂，即我们日常生活中经常用到的洗衣粉、洗洁精、洗衣液、肥皂等洗涤剂的主要成分，其主要成分十二烷基磺酸钠，是一种低毒物质，在消毒企业中广泛使用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14934-2016《食品安全国家标准消毒餐（饮）具》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5B075F0"/>
    <w:rsid w:val="07503655"/>
    <w:rsid w:val="09613572"/>
    <w:rsid w:val="098168D4"/>
    <w:rsid w:val="09E0572E"/>
    <w:rsid w:val="0A4011CE"/>
    <w:rsid w:val="0B443F79"/>
    <w:rsid w:val="0B505CFE"/>
    <w:rsid w:val="0C0B1D8D"/>
    <w:rsid w:val="0C705556"/>
    <w:rsid w:val="0CCE6341"/>
    <w:rsid w:val="0D374F84"/>
    <w:rsid w:val="0D4279C5"/>
    <w:rsid w:val="0D852F3F"/>
    <w:rsid w:val="0DE12CCF"/>
    <w:rsid w:val="0E284B04"/>
    <w:rsid w:val="0EC12409"/>
    <w:rsid w:val="0F751D38"/>
    <w:rsid w:val="0F8E03D8"/>
    <w:rsid w:val="0FA90066"/>
    <w:rsid w:val="0FC01C62"/>
    <w:rsid w:val="1034205B"/>
    <w:rsid w:val="104362FC"/>
    <w:rsid w:val="107C1AA5"/>
    <w:rsid w:val="11F95E33"/>
    <w:rsid w:val="12F708C4"/>
    <w:rsid w:val="14FB2159"/>
    <w:rsid w:val="153E37EC"/>
    <w:rsid w:val="155E31D5"/>
    <w:rsid w:val="15F30177"/>
    <w:rsid w:val="164271B3"/>
    <w:rsid w:val="16C74C86"/>
    <w:rsid w:val="16E15A77"/>
    <w:rsid w:val="172A0F96"/>
    <w:rsid w:val="17BC2306"/>
    <w:rsid w:val="18165D76"/>
    <w:rsid w:val="187D413F"/>
    <w:rsid w:val="18B93A69"/>
    <w:rsid w:val="18CE1A06"/>
    <w:rsid w:val="19580406"/>
    <w:rsid w:val="19D1085A"/>
    <w:rsid w:val="1A6251F7"/>
    <w:rsid w:val="1ACE2642"/>
    <w:rsid w:val="1BAD4A7C"/>
    <w:rsid w:val="1C157453"/>
    <w:rsid w:val="1C1845BD"/>
    <w:rsid w:val="1CB27E9B"/>
    <w:rsid w:val="1DAD3FFF"/>
    <w:rsid w:val="1DFF41B9"/>
    <w:rsid w:val="207F2166"/>
    <w:rsid w:val="209E7837"/>
    <w:rsid w:val="20DD5D1B"/>
    <w:rsid w:val="21EF72E6"/>
    <w:rsid w:val="224D6ADB"/>
    <w:rsid w:val="227B2998"/>
    <w:rsid w:val="22A141AA"/>
    <w:rsid w:val="22BF0461"/>
    <w:rsid w:val="22DF1FFB"/>
    <w:rsid w:val="239D0E6B"/>
    <w:rsid w:val="24B573DE"/>
    <w:rsid w:val="25481A61"/>
    <w:rsid w:val="25915938"/>
    <w:rsid w:val="25A92365"/>
    <w:rsid w:val="261F7110"/>
    <w:rsid w:val="268048E5"/>
    <w:rsid w:val="268C2746"/>
    <w:rsid w:val="26A0668D"/>
    <w:rsid w:val="26AB6C21"/>
    <w:rsid w:val="26DF3697"/>
    <w:rsid w:val="27332D86"/>
    <w:rsid w:val="27727CA4"/>
    <w:rsid w:val="27F74C72"/>
    <w:rsid w:val="28600ED5"/>
    <w:rsid w:val="28B77FCD"/>
    <w:rsid w:val="28E51ADB"/>
    <w:rsid w:val="290E4770"/>
    <w:rsid w:val="2A066B4A"/>
    <w:rsid w:val="2A0F4184"/>
    <w:rsid w:val="2A14107F"/>
    <w:rsid w:val="2AB22B74"/>
    <w:rsid w:val="2B1206C2"/>
    <w:rsid w:val="2C243C54"/>
    <w:rsid w:val="2D7D65C0"/>
    <w:rsid w:val="2EE02088"/>
    <w:rsid w:val="2EEE4150"/>
    <w:rsid w:val="2F026C43"/>
    <w:rsid w:val="2F192827"/>
    <w:rsid w:val="2F6C5736"/>
    <w:rsid w:val="2F8746A4"/>
    <w:rsid w:val="2F9200D3"/>
    <w:rsid w:val="3036111F"/>
    <w:rsid w:val="30C52F74"/>
    <w:rsid w:val="31390AFB"/>
    <w:rsid w:val="31727237"/>
    <w:rsid w:val="31E4442C"/>
    <w:rsid w:val="31F75EEE"/>
    <w:rsid w:val="320944EF"/>
    <w:rsid w:val="32671426"/>
    <w:rsid w:val="326A386A"/>
    <w:rsid w:val="327A4A98"/>
    <w:rsid w:val="32B12BD0"/>
    <w:rsid w:val="337F4F63"/>
    <w:rsid w:val="33A308EA"/>
    <w:rsid w:val="36731FE9"/>
    <w:rsid w:val="367B7D6F"/>
    <w:rsid w:val="36970865"/>
    <w:rsid w:val="37246F64"/>
    <w:rsid w:val="37975EBC"/>
    <w:rsid w:val="37980617"/>
    <w:rsid w:val="37D8062F"/>
    <w:rsid w:val="37F96A05"/>
    <w:rsid w:val="383060A2"/>
    <w:rsid w:val="38642EE5"/>
    <w:rsid w:val="39666407"/>
    <w:rsid w:val="39A57DA5"/>
    <w:rsid w:val="39AF2A0A"/>
    <w:rsid w:val="39E66244"/>
    <w:rsid w:val="3A4E210D"/>
    <w:rsid w:val="3A937552"/>
    <w:rsid w:val="3AA9213C"/>
    <w:rsid w:val="3B6949B8"/>
    <w:rsid w:val="3B932D55"/>
    <w:rsid w:val="3C52405A"/>
    <w:rsid w:val="3C87360C"/>
    <w:rsid w:val="3D625FAB"/>
    <w:rsid w:val="3D7846F0"/>
    <w:rsid w:val="3D8F3232"/>
    <w:rsid w:val="3DDA184A"/>
    <w:rsid w:val="3E3A3BD1"/>
    <w:rsid w:val="3E793D02"/>
    <w:rsid w:val="3E974FD9"/>
    <w:rsid w:val="3F944EF2"/>
    <w:rsid w:val="40787187"/>
    <w:rsid w:val="40B86FDC"/>
    <w:rsid w:val="40D0460A"/>
    <w:rsid w:val="40F91F4F"/>
    <w:rsid w:val="4167249D"/>
    <w:rsid w:val="41D76D12"/>
    <w:rsid w:val="420E6C2D"/>
    <w:rsid w:val="42400E64"/>
    <w:rsid w:val="425665EF"/>
    <w:rsid w:val="426A0D65"/>
    <w:rsid w:val="43842684"/>
    <w:rsid w:val="43C70ADF"/>
    <w:rsid w:val="44F63D12"/>
    <w:rsid w:val="45B97969"/>
    <w:rsid w:val="47492C28"/>
    <w:rsid w:val="494214A7"/>
    <w:rsid w:val="49697DDF"/>
    <w:rsid w:val="4B5049B4"/>
    <w:rsid w:val="4BC137FA"/>
    <w:rsid w:val="4C297156"/>
    <w:rsid w:val="4C36294C"/>
    <w:rsid w:val="4CCB074B"/>
    <w:rsid w:val="4D8A2EE5"/>
    <w:rsid w:val="4D9B4661"/>
    <w:rsid w:val="4E0B1BC2"/>
    <w:rsid w:val="4EC26E4B"/>
    <w:rsid w:val="4EED2BC8"/>
    <w:rsid w:val="4F932387"/>
    <w:rsid w:val="4FAB5F46"/>
    <w:rsid w:val="50163F73"/>
    <w:rsid w:val="50C17233"/>
    <w:rsid w:val="51896A13"/>
    <w:rsid w:val="51FD239C"/>
    <w:rsid w:val="52941F38"/>
    <w:rsid w:val="52A6769D"/>
    <w:rsid w:val="53DD4918"/>
    <w:rsid w:val="5473169E"/>
    <w:rsid w:val="550115C8"/>
    <w:rsid w:val="554D75AB"/>
    <w:rsid w:val="55515C48"/>
    <w:rsid w:val="55BE0029"/>
    <w:rsid w:val="566F178F"/>
    <w:rsid w:val="583D6A55"/>
    <w:rsid w:val="58C52A1E"/>
    <w:rsid w:val="5900754B"/>
    <w:rsid w:val="591702CA"/>
    <w:rsid w:val="59203A01"/>
    <w:rsid w:val="59A56ED4"/>
    <w:rsid w:val="5AF17BBB"/>
    <w:rsid w:val="5B7936AC"/>
    <w:rsid w:val="5BDC6E44"/>
    <w:rsid w:val="5C6258A4"/>
    <w:rsid w:val="5C6607D4"/>
    <w:rsid w:val="5CF357D6"/>
    <w:rsid w:val="5E3C6DCB"/>
    <w:rsid w:val="5E82604C"/>
    <w:rsid w:val="5E9F7D04"/>
    <w:rsid w:val="5EB3567B"/>
    <w:rsid w:val="5FB4017C"/>
    <w:rsid w:val="5FF86B48"/>
    <w:rsid w:val="616D5BEF"/>
    <w:rsid w:val="62106968"/>
    <w:rsid w:val="62733EE5"/>
    <w:rsid w:val="62A23EF9"/>
    <w:rsid w:val="62E64A8D"/>
    <w:rsid w:val="637B6589"/>
    <w:rsid w:val="63E519B6"/>
    <w:rsid w:val="63E60C8E"/>
    <w:rsid w:val="645F7C77"/>
    <w:rsid w:val="64BA3CE8"/>
    <w:rsid w:val="6655217A"/>
    <w:rsid w:val="66F73F16"/>
    <w:rsid w:val="67734C92"/>
    <w:rsid w:val="67C1146A"/>
    <w:rsid w:val="67DF1954"/>
    <w:rsid w:val="67E22ABE"/>
    <w:rsid w:val="681044FB"/>
    <w:rsid w:val="681A5C55"/>
    <w:rsid w:val="686B67ED"/>
    <w:rsid w:val="6A7367C6"/>
    <w:rsid w:val="6B0A631F"/>
    <w:rsid w:val="6B2F57E8"/>
    <w:rsid w:val="6B3B7A45"/>
    <w:rsid w:val="6C2A5933"/>
    <w:rsid w:val="6C532497"/>
    <w:rsid w:val="6C6A3D48"/>
    <w:rsid w:val="6ED77804"/>
    <w:rsid w:val="70433045"/>
    <w:rsid w:val="71236AF0"/>
    <w:rsid w:val="72050BDB"/>
    <w:rsid w:val="72084E58"/>
    <w:rsid w:val="72C44654"/>
    <w:rsid w:val="731C59A6"/>
    <w:rsid w:val="740B7597"/>
    <w:rsid w:val="75A57FA1"/>
    <w:rsid w:val="76077A0F"/>
    <w:rsid w:val="76C43BAF"/>
    <w:rsid w:val="77450FC0"/>
    <w:rsid w:val="7746130E"/>
    <w:rsid w:val="7802718C"/>
    <w:rsid w:val="78516857"/>
    <w:rsid w:val="787917F5"/>
    <w:rsid w:val="78941FDE"/>
    <w:rsid w:val="79425C88"/>
    <w:rsid w:val="79E41CD7"/>
    <w:rsid w:val="7A27777B"/>
    <w:rsid w:val="7B5D2F26"/>
    <w:rsid w:val="7B7721FC"/>
    <w:rsid w:val="7C833972"/>
    <w:rsid w:val="7ECE751F"/>
    <w:rsid w:val="7EF80517"/>
    <w:rsid w:val="7F4D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Balloon Text"/>
    <w:basedOn w:val="1"/>
    <w:link w:val="20"/>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2"/>
    <w:qFormat/>
    <w:uiPriority w:val="0"/>
    <w:pPr>
      <w:ind w:firstLine="420" w:firstLineChars="100"/>
    </w:pPr>
    <w:rPr>
      <w:rFonts w:ascii="Times New Roman" w:hAnsi="Times New Roman" w:eastAsia="宋体" w:cs="Times New Roman"/>
      <w:szCs w:val="24"/>
    </w:rPr>
  </w:style>
  <w:style w:type="character" w:styleId="11">
    <w:name w:val="FollowedHyperlink"/>
    <w:basedOn w:val="10"/>
    <w:unhideWhenUsed/>
    <w:qFormat/>
    <w:uiPriority w:val="99"/>
    <w:rPr>
      <w:color w:val="000099"/>
      <w:sz w:val="18"/>
      <w:szCs w:val="18"/>
      <w:u w:val="single"/>
    </w:rPr>
  </w:style>
  <w:style w:type="character" w:styleId="12">
    <w:name w:val="Emphasis"/>
    <w:qFormat/>
    <w:uiPriority w:val="20"/>
    <w:rPr>
      <w:i/>
      <w:iCs/>
    </w:rPr>
  </w:style>
  <w:style w:type="character" w:styleId="13">
    <w:name w:val="Hyperlink"/>
    <w:basedOn w:val="10"/>
    <w:unhideWhenUsed/>
    <w:qFormat/>
    <w:uiPriority w:val="99"/>
    <w:rPr>
      <w:color w:val="000099"/>
      <w:sz w:val="18"/>
      <w:szCs w:val="18"/>
      <w:u w:val="single"/>
    </w:rPr>
  </w:style>
  <w:style w:type="character" w:customStyle="1" w:styleId="14">
    <w:name w:val="页眉 Char"/>
    <w:basedOn w:val="10"/>
    <w:link w:val="5"/>
    <w:semiHidden/>
    <w:qFormat/>
    <w:uiPriority w:val="99"/>
    <w:rPr>
      <w:sz w:val="18"/>
      <w:szCs w:val="18"/>
    </w:rPr>
  </w:style>
  <w:style w:type="character" w:customStyle="1" w:styleId="15">
    <w:name w:val="页脚 Char"/>
    <w:basedOn w:val="10"/>
    <w:link w:val="4"/>
    <w:semiHidden/>
    <w:qFormat/>
    <w:uiPriority w:val="99"/>
    <w:rPr>
      <w:sz w:val="18"/>
      <w:szCs w:val="18"/>
    </w:rPr>
  </w:style>
  <w:style w:type="character" w:customStyle="1" w:styleId="16">
    <w:name w:val="apple-converted-space"/>
    <w:basedOn w:val="10"/>
    <w:qFormat/>
    <w:uiPriority w:val="0"/>
  </w:style>
  <w:style w:type="paragraph" w:customStyle="1" w:styleId="1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List Paragraph"/>
    <w:basedOn w:val="1"/>
    <w:unhideWhenUsed/>
    <w:qFormat/>
    <w:uiPriority w:val="99"/>
    <w:pPr>
      <w:ind w:firstLine="420" w:firstLineChars="200"/>
    </w:pPr>
  </w:style>
  <w:style w:type="character" w:customStyle="1" w:styleId="19">
    <w:name w:val="description"/>
    <w:basedOn w:val="10"/>
    <w:qFormat/>
    <w:uiPriority w:val="0"/>
  </w:style>
  <w:style w:type="character" w:customStyle="1" w:styleId="20">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1">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2">
    <w:name w:val="正文首行缩进 Char"/>
    <w:basedOn w:val="21"/>
    <w:link w:val="8"/>
    <w:qFormat/>
    <w:uiPriority w:val="0"/>
    <w:rPr>
      <w:rFonts w:asciiTheme="minorHAnsi" w:hAnsiTheme="minorHAnsi" w:eastAsiaTheme="minorEastAsia" w:cstheme="minorBidi"/>
      <w:kern w:val="2"/>
      <w:sz w:val="21"/>
      <w:szCs w:val="24"/>
    </w:rPr>
  </w:style>
  <w:style w:type="character" w:customStyle="1" w:styleId="23">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 w:type="paragraph" w:styleId="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6">
    <w:name w:val="不明显强调2"/>
    <w:basedOn w:val="10"/>
    <w:qFormat/>
    <w:uiPriority w:val="19"/>
    <w:rPr>
      <w:i/>
      <w:iCs/>
      <w:color w:val="808080" w:themeColor="text1" w:themeTint="80"/>
      <w14:textFill>
        <w14:solidFill>
          <w14:schemeClr w14:val="tx1">
            <w14:lumMod w14:val="50000"/>
            <w14:lumOff w14:val="50000"/>
          </w14:schemeClr>
        </w14:solidFill>
      </w14:textFill>
    </w:rPr>
  </w:style>
  <w:style w:type="character" w:customStyle="1" w:styleId="27">
    <w:name w:val="Subtle Emphasis"/>
    <w:basedOn w:val="10"/>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157</Words>
  <Characters>899</Characters>
  <Lines>7</Lines>
  <Paragraphs>2</Paragraphs>
  <TotalTime>12</TotalTime>
  <ScaleCrop>false</ScaleCrop>
  <LinksUpToDate>false</LinksUpToDate>
  <CharactersWithSpaces>1054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zwq</cp:lastModifiedBy>
  <cp:lastPrinted>2019-01-28T02:50:00Z</cp:lastPrinted>
  <dcterms:modified xsi:type="dcterms:W3CDTF">2020-10-12T06:17:10Z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KSORubyTemplateID" linkTarget="0">
    <vt:lpwstr>6</vt:lpwstr>
  </property>
</Properties>
</file>