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both"/>
        <w:rPr>
          <w:rFonts w:hint="eastAsia" w:ascii="黑体" w:hAnsi="黑体" w:eastAsia="黑体" w:cs="黑体"/>
          <w:b w:val="0"/>
          <w:bCs w:val="0"/>
          <w:color w:val="000000"/>
          <w:sz w:val="32"/>
          <w:szCs w:val="32"/>
        </w:rPr>
      </w:pPr>
      <w:bookmarkStart w:id="0" w:name="_Hlk29479244"/>
      <w:r>
        <w:rPr>
          <w:rFonts w:hint="eastAsia" w:ascii="黑体" w:hAnsi="黑体" w:eastAsia="黑体" w:cs="黑体"/>
          <w:b w:val="0"/>
          <w:bCs w:val="0"/>
          <w:color w:val="000000"/>
          <w:sz w:val="32"/>
          <w:szCs w:val="32"/>
          <w:lang w:val="en-US" w:eastAsia="zh-CN"/>
        </w:rPr>
        <w:t>黑龙江省2020年</w:t>
      </w:r>
      <w:r>
        <w:rPr>
          <w:rFonts w:hint="eastAsia" w:ascii="黑体" w:hAnsi="黑体" w:eastAsia="黑体" w:cs="黑体"/>
          <w:b w:val="0"/>
          <w:bCs w:val="0"/>
          <w:color w:val="000000"/>
          <w:sz w:val="32"/>
          <w:szCs w:val="32"/>
        </w:rPr>
        <w:t>复混肥料</w:t>
      </w:r>
      <w:bookmarkEnd w:id="0"/>
      <w:r>
        <w:rPr>
          <w:rFonts w:hint="eastAsia" w:ascii="黑体" w:hAnsi="黑体" w:eastAsia="黑体" w:cs="黑体"/>
          <w:b w:val="0"/>
          <w:bCs w:val="0"/>
          <w:color w:val="000000"/>
          <w:sz w:val="32"/>
          <w:szCs w:val="32"/>
        </w:rPr>
        <w:t>产品质量</w:t>
      </w:r>
      <w:r>
        <w:rPr>
          <w:rFonts w:hint="eastAsia" w:ascii="黑体" w:hAnsi="黑体" w:eastAsia="黑体" w:cs="黑体"/>
          <w:b w:val="0"/>
          <w:bCs w:val="0"/>
          <w:color w:val="000000"/>
          <w:sz w:val="32"/>
          <w:szCs w:val="32"/>
          <w:lang w:eastAsia="zh-CN"/>
        </w:rPr>
        <w:t>省级</w:t>
      </w:r>
      <w:r>
        <w:rPr>
          <w:rFonts w:hint="eastAsia" w:ascii="黑体" w:hAnsi="黑体" w:eastAsia="黑体" w:cs="黑体"/>
          <w:b w:val="0"/>
          <w:bCs w:val="0"/>
          <w:color w:val="000000"/>
          <w:sz w:val="32"/>
          <w:szCs w:val="32"/>
        </w:rPr>
        <w:t>监督抽查实施细则</w:t>
      </w:r>
    </w:p>
    <w:p>
      <w:pPr>
        <w:adjustRightInd w:val="0"/>
        <w:snapToGrid w:val="0"/>
        <w:spacing w:line="594" w:lineRule="exact"/>
        <w:jc w:val="center"/>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抽样方法</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以随机抽样的方式在被抽样生产者、销售者的待销产品中抽取。</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bookmarkStart w:id="1" w:name="_Hlk40800877"/>
      <w:r>
        <w:rPr>
          <w:rFonts w:hint="eastAsia" w:ascii="仿宋_GB2312" w:hAnsi="仿宋_GB2312" w:eastAsia="仿宋_GB2312" w:cs="仿宋_GB2312"/>
          <w:color w:val="000000"/>
          <w:sz w:val="32"/>
          <w:szCs w:val="32"/>
        </w:rPr>
        <w:t>将样品缩分至10</w:t>
      </w:r>
      <w:bookmarkStart w:id="2" w:name="_Hlk40801232"/>
      <w:r>
        <w:rPr>
          <w:rFonts w:hint="eastAsia" w:ascii="仿宋_GB2312" w:hAnsi="仿宋_GB2312" w:eastAsia="仿宋_GB2312" w:cs="仿宋_GB2312"/>
          <w:color w:val="000000"/>
          <w:sz w:val="32"/>
          <w:szCs w:val="32"/>
        </w:rPr>
        <w:t>00g左右</w:t>
      </w:r>
      <w:bookmarkEnd w:id="2"/>
      <w:r>
        <w:rPr>
          <w:rFonts w:hint="eastAsia" w:ascii="仿宋_GB2312" w:hAnsi="仿宋_GB2312" w:eastAsia="仿宋_GB2312" w:cs="仿宋_GB2312"/>
          <w:color w:val="000000"/>
          <w:sz w:val="32"/>
          <w:szCs w:val="32"/>
        </w:rPr>
        <w:t>，分装在2个塑料瓶中，每瓶500g左右。1瓶作为检验样品，另1瓶作为备用样品。</w:t>
      </w:r>
      <w:bookmarkEnd w:id="1"/>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检验依据</w:t>
      </w:r>
    </w:p>
    <w:p>
      <w:pPr>
        <w:keepNext w:val="0"/>
        <w:keepLines w:val="0"/>
        <w:pageBreakBefore w:val="0"/>
        <w:kinsoku/>
        <w:wordWrap/>
        <w:overflowPunct/>
        <w:topLinePunct w:val="0"/>
        <w:autoSpaceDE/>
        <w:autoSpaceDN/>
        <w:bidi w:val="0"/>
        <w:spacing w:line="240" w:lineRule="auto"/>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表1 复混肥料(复合肥料)</w:t>
      </w:r>
    </w:p>
    <w:tbl>
      <w:tblPr>
        <w:tblStyle w:val="4"/>
        <w:tblW w:w="8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924"/>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序号</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检验项目</w:t>
            </w:r>
          </w:p>
        </w:tc>
        <w:tc>
          <w:tcPr>
            <w:tcW w:w="2609"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w:t>
            </w:r>
          </w:p>
        </w:tc>
        <w:tc>
          <w:tcPr>
            <w:tcW w:w="4924"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总氮（N）的质量分数</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w:t>
            </w:r>
          </w:p>
        </w:tc>
        <w:tc>
          <w:tcPr>
            <w:tcW w:w="4924"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有效磷（P</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sz w:val="28"/>
                <w:szCs w:val="28"/>
                <w:vertAlign w:val="subscript"/>
              </w:rPr>
              <w:t>5</w:t>
            </w:r>
            <w:r>
              <w:rPr>
                <w:rFonts w:hint="eastAsia" w:ascii="仿宋_GB2312" w:hAnsi="仿宋_GB2312" w:eastAsia="仿宋_GB2312" w:cs="仿宋_GB2312"/>
                <w:sz w:val="28"/>
                <w:szCs w:val="28"/>
              </w:rPr>
              <w:t>）的质量分数</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3</w:t>
            </w:r>
          </w:p>
        </w:tc>
        <w:tc>
          <w:tcPr>
            <w:tcW w:w="4924"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氧化钾（K</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O）的质量分数</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4</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总养分（N+P</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w:t>
            </w:r>
            <w:r>
              <w:rPr>
                <w:rFonts w:hint="eastAsia" w:ascii="仿宋_GB2312" w:hAnsi="仿宋_GB2312" w:eastAsia="仿宋_GB2312" w:cs="仿宋_GB2312"/>
                <w:bCs/>
                <w:color w:val="000000"/>
                <w:sz w:val="28"/>
                <w:szCs w:val="28"/>
                <w:vertAlign w:val="subscript"/>
              </w:rPr>
              <w:t>5</w:t>
            </w:r>
            <w:r>
              <w:rPr>
                <w:rFonts w:hint="eastAsia" w:ascii="仿宋_GB2312" w:hAnsi="仿宋_GB2312" w:eastAsia="仿宋_GB2312" w:cs="仿宋_GB2312"/>
                <w:bCs/>
                <w:color w:val="000000"/>
                <w:sz w:val="28"/>
                <w:szCs w:val="28"/>
              </w:rPr>
              <w:t>+K</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O）的质量分数</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8572-2010</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5</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氯离子的质量分数</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6</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水溶性磷占有效磷百分率</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7</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粒度</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4"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8</w:t>
            </w:r>
          </w:p>
        </w:tc>
        <w:tc>
          <w:tcPr>
            <w:tcW w:w="4924"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包装标识（养分含量、含氯标识、警示语）</w:t>
            </w:r>
          </w:p>
        </w:tc>
        <w:tc>
          <w:tcPr>
            <w:tcW w:w="260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 18382-2001</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15063-2009</w:t>
            </w:r>
          </w:p>
        </w:tc>
      </w:tr>
    </w:tbl>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表2 掺混肥料</w:t>
      </w:r>
    </w:p>
    <w:tbl>
      <w:tblPr>
        <w:tblStyle w:val="4"/>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919"/>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序号</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检验项目</w:t>
            </w:r>
          </w:p>
        </w:tc>
        <w:tc>
          <w:tcPr>
            <w:tcW w:w="2575" w:type="dxa"/>
            <w:vAlign w:val="center"/>
          </w:tcPr>
          <w:p>
            <w:pPr>
              <w:keepNext w:val="0"/>
              <w:keepLines w:val="0"/>
              <w:pageBreakBefore w:val="0"/>
              <w:widowControl w:val="0"/>
              <w:kinsoku/>
              <w:wordWrap/>
              <w:overflowPunct/>
              <w:topLinePunct w:val="0"/>
              <w:autoSpaceDE/>
              <w:autoSpaceDN/>
              <w:bidi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w:t>
            </w:r>
          </w:p>
        </w:tc>
        <w:tc>
          <w:tcPr>
            <w:tcW w:w="4919"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总氮（N）的质量分数</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w:t>
            </w:r>
          </w:p>
        </w:tc>
        <w:tc>
          <w:tcPr>
            <w:tcW w:w="4919"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有效磷（P</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sz w:val="28"/>
                <w:szCs w:val="28"/>
                <w:vertAlign w:val="subscript"/>
              </w:rPr>
              <w:t>5</w:t>
            </w:r>
            <w:r>
              <w:rPr>
                <w:rFonts w:hint="eastAsia" w:ascii="仿宋_GB2312" w:hAnsi="仿宋_GB2312" w:eastAsia="仿宋_GB2312" w:cs="仿宋_GB2312"/>
                <w:sz w:val="28"/>
                <w:szCs w:val="28"/>
              </w:rPr>
              <w:t>）的质量分数</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3</w:t>
            </w:r>
          </w:p>
        </w:tc>
        <w:tc>
          <w:tcPr>
            <w:tcW w:w="4919"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氧化钾（K</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O）的质量分数</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4</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总养分（N+P</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w:t>
            </w:r>
            <w:r>
              <w:rPr>
                <w:rFonts w:hint="eastAsia" w:ascii="仿宋_GB2312" w:hAnsi="仿宋_GB2312" w:eastAsia="仿宋_GB2312" w:cs="仿宋_GB2312"/>
                <w:bCs/>
                <w:color w:val="000000"/>
                <w:sz w:val="28"/>
                <w:szCs w:val="28"/>
                <w:vertAlign w:val="subscript"/>
              </w:rPr>
              <w:t>5</w:t>
            </w:r>
            <w:r>
              <w:rPr>
                <w:rFonts w:hint="eastAsia" w:ascii="仿宋_GB2312" w:hAnsi="仿宋_GB2312" w:eastAsia="仿宋_GB2312" w:cs="仿宋_GB2312"/>
                <w:bCs/>
                <w:color w:val="000000"/>
                <w:sz w:val="28"/>
                <w:szCs w:val="28"/>
              </w:rPr>
              <w:t>+K</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O）的质量分数</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8572-2010</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5</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氯离子的质量分数</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6</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水溶磷占有效磷的百分率</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7</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粒度</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67"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8</w:t>
            </w:r>
          </w:p>
        </w:tc>
        <w:tc>
          <w:tcPr>
            <w:tcW w:w="4919" w:type="dxa"/>
            <w:vAlign w:val="center"/>
          </w:tcPr>
          <w:p>
            <w:pPr>
              <w:keepNext w:val="0"/>
              <w:keepLines w:val="0"/>
              <w:pageBreakBefore w:val="0"/>
              <w:widowControl w:val="0"/>
              <w:kinsoku/>
              <w:wordWrap/>
              <w:overflowPunct/>
              <w:topLinePunct w:val="0"/>
              <w:autoSpaceDE/>
              <w:autoSpaceDN/>
              <w:bidi w:val="0"/>
              <w:snapToGri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包装标识（养分含量、含氯标识、其他）</w:t>
            </w:r>
          </w:p>
        </w:tc>
        <w:tc>
          <w:tcPr>
            <w:tcW w:w="2575"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 18382-2001</w:t>
            </w:r>
          </w:p>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21633-2008</w:t>
            </w:r>
          </w:p>
        </w:tc>
      </w:tr>
    </w:tbl>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eastAsia" w:ascii="仿宋_GB2312" w:hAnsi="仿宋_GB2312" w:eastAsia="仿宋_GB2312" w:cs="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outlineLvl w:val="9"/>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表3 有机-无机复混肥料</w:t>
      </w:r>
    </w:p>
    <w:tbl>
      <w:tblPr>
        <w:tblStyle w:val="4"/>
        <w:tblW w:w="83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4770"/>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blHeader/>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序号</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检验项目</w:t>
            </w:r>
          </w:p>
        </w:tc>
        <w:tc>
          <w:tcPr>
            <w:tcW w:w="2689" w:type="dxa"/>
            <w:vAlign w:val="center"/>
          </w:tcPr>
          <w:p>
            <w:pPr>
              <w:keepNext w:val="0"/>
              <w:keepLines w:val="0"/>
              <w:pageBreakBefore w:val="0"/>
              <w:widowControl w:val="0"/>
              <w:kinsoku/>
              <w:wordWrap/>
              <w:overflowPunct/>
              <w:topLinePunct w:val="0"/>
              <w:autoSpaceDE/>
              <w:autoSpaceDN/>
              <w:bidi w:val="0"/>
              <w:snapToGrid w:val="0"/>
              <w:spacing w:line="0" w:lineRule="atLeast"/>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总氮（ N）的质量分数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17767.1-2008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有效五氧化二磷（</w:t>
            </w:r>
            <w:r>
              <w:rPr>
                <w:rFonts w:hint="eastAsia" w:ascii="仿宋_GB2312" w:hAnsi="仿宋_GB2312" w:eastAsia="仿宋_GB2312" w:cs="仿宋_GB2312"/>
                <w:sz w:val="28"/>
                <w:szCs w:val="28"/>
              </w:rPr>
              <w:t>P</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sz w:val="28"/>
                <w:szCs w:val="28"/>
                <w:vertAlign w:val="subscript"/>
              </w:rPr>
              <w:t>5</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3</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总氧化钾</w:t>
            </w:r>
            <w:r>
              <w:rPr>
                <w:rFonts w:hint="eastAsia" w:ascii="仿宋_GB2312" w:hAnsi="仿宋_GB2312" w:eastAsia="仿宋_GB2312" w:cs="仿宋_GB2312"/>
                <w:sz w:val="28"/>
                <w:szCs w:val="28"/>
              </w:rPr>
              <w:t>（K</w:t>
            </w:r>
            <w:r>
              <w:rPr>
                <w:rFonts w:hint="eastAsia" w:ascii="仿宋_GB2312" w:hAnsi="仿宋_GB2312" w:eastAsia="仿宋_GB2312" w:cs="仿宋_GB2312"/>
                <w:sz w:val="28"/>
                <w:szCs w:val="28"/>
                <w:vertAlign w:val="subscript"/>
              </w:rPr>
              <w:t>2</w:t>
            </w:r>
            <w:r>
              <w:rPr>
                <w:rFonts w:hint="eastAsia" w:ascii="仿宋_GB2312" w:hAnsi="仿宋_GB2312" w:eastAsia="仿宋_GB2312" w:cs="仿宋_GB2312"/>
                <w:sz w:val="28"/>
                <w:szCs w:val="28"/>
              </w:rPr>
              <w:t>O）</w:t>
            </w:r>
            <w:r>
              <w:rPr>
                <w:rFonts w:hint="eastAsia" w:ascii="仿宋_GB2312" w:hAnsi="仿宋_GB2312" w:eastAsia="仿宋_GB2312" w:cs="仿宋_GB2312"/>
                <w:bCs/>
                <w:color w:val="000000"/>
                <w:sz w:val="28"/>
                <w:szCs w:val="28"/>
              </w:rPr>
              <w:t>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4</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总养分（N+P</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w:t>
            </w:r>
            <w:r>
              <w:rPr>
                <w:rFonts w:hint="eastAsia" w:ascii="仿宋_GB2312" w:hAnsi="仿宋_GB2312" w:eastAsia="仿宋_GB2312" w:cs="仿宋_GB2312"/>
                <w:bCs/>
                <w:color w:val="000000"/>
                <w:sz w:val="28"/>
                <w:szCs w:val="28"/>
                <w:vertAlign w:val="subscript"/>
              </w:rPr>
              <w:t>5</w:t>
            </w:r>
            <w:r>
              <w:rPr>
                <w:rFonts w:hint="eastAsia" w:ascii="仿宋_GB2312" w:hAnsi="仿宋_GB2312" w:eastAsia="仿宋_GB2312" w:cs="仿宋_GB2312"/>
                <w:bCs/>
                <w:color w:val="000000"/>
                <w:sz w:val="28"/>
                <w:szCs w:val="28"/>
              </w:rPr>
              <w:t>+K</w:t>
            </w:r>
            <w:r>
              <w:rPr>
                <w:rFonts w:hint="eastAsia" w:ascii="仿宋_GB2312" w:hAnsi="仿宋_GB2312" w:eastAsia="仿宋_GB2312" w:cs="仿宋_GB2312"/>
                <w:bCs/>
                <w:color w:val="000000"/>
                <w:sz w:val="28"/>
                <w:szCs w:val="28"/>
                <w:vertAlign w:val="subscript"/>
              </w:rPr>
              <w:t>2</w:t>
            </w:r>
            <w:r>
              <w:rPr>
                <w:rFonts w:hint="eastAsia" w:ascii="仿宋_GB2312" w:hAnsi="仿宋_GB2312" w:eastAsia="仿宋_GB2312" w:cs="仿宋_GB2312"/>
                <w:bCs/>
                <w:color w:val="000000"/>
                <w:sz w:val="28"/>
                <w:szCs w:val="28"/>
              </w:rPr>
              <w:t>O）的质量分数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17767.1-2008</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8573-2017</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5</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氯离子的质量分数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6</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有机质的质量分数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7</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蛔虫卵死亡率</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19524.2-2004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8</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粪大肠菌群数</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lef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19524.1-2004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9</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砷及其化合物的质量分数（以As计）</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10</w:t>
            </w:r>
          </w:p>
        </w:tc>
        <w:tc>
          <w:tcPr>
            <w:tcW w:w="4770"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rPr>
              <w:t>镉及其化合物的质量分数（以Cd计）</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11</w:t>
            </w:r>
          </w:p>
        </w:tc>
        <w:tc>
          <w:tcPr>
            <w:tcW w:w="4770"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rPr>
              <w:t>铅及其化合物的质量分数（以Pb计）</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12</w:t>
            </w:r>
          </w:p>
        </w:tc>
        <w:tc>
          <w:tcPr>
            <w:tcW w:w="4770"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rPr>
              <w:t>铬及其化合物的质量分数（以Cr计）</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13</w:t>
            </w:r>
          </w:p>
        </w:tc>
        <w:tc>
          <w:tcPr>
            <w:tcW w:w="4770" w:type="dxa"/>
            <w:vAlign w:val="center"/>
          </w:tcPr>
          <w:p>
            <w:pPr>
              <w:keepNext w:val="0"/>
              <w:keepLines w:val="0"/>
              <w:pageBreakBefore w:val="0"/>
              <w:widowControl w:val="0"/>
              <w:kinsoku/>
              <w:wordWrap/>
              <w:overflowPunct/>
              <w:topLinePunct w:val="0"/>
              <w:autoSpaceDE/>
              <w:autoSpaceDN/>
              <w:bidi w:val="0"/>
              <w:spacing w:line="0" w:lineRule="atLeas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rPr>
              <w:t>汞及其化合物的质量分数（以Hg计）</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23349-2009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14</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粒度</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24891-2010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15</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酸碱度（pH）</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58" w:type="dxa"/>
            <w:vAlign w:val="center"/>
          </w:tcPr>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16</w:t>
            </w:r>
          </w:p>
        </w:tc>
        <w:tc>
          <w:tcPr>
            <w:tcW w:w="4770" w:type="dxa"/>
            <w:vAlign w:val="center"/>
          </w:tcPr>
          <w:p>
            <w:pPr>
              <w:keepNext w:val="0"/>
              <w:keepLines w:val="0"/>
              <w:pageBreakBefore w:val="0"/>
              <w:widowControl w:val="0"/>
              <w:kinsoku/>
              <w:wordWrap/>
              <w:overflowPunct/>
              <w:topLinePunct w:val="0"/>
              <w:autoSpaceDE/>
              <w:autoSpaceDN/>
              <w:bidi w:val="0"/>
              <w:adjustRightInd w:val="0"/>
              <w:spacing w:line="0" w:lineRule="atLeast"/>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包装标识（养分含量、含氯标识、其他）</w:t>
            </w:r>
          </w:p>
        </w:tc>
        <w:tc>
          <w:tcPr>
            <w:tcW w:w="2689" w:type="dxa"/>
            <w:vAlign w:val="center"/>
          </w:tcPr>
          <w:p>
            <w:pPr>
              <w:keepNext w:val="0"/>
              <w:keepLines w:val="0"/>
              <w:pageBreakBefore w:val="0"/>
              <w:widowControl w:val="0"/>
              <w:kinsoku/>
              <w:wordWrap/>
              <w:overflowPunct/>
              <w:topLinePunct w:val="0"/>
              <w:autoSpaceDE/>
              <w:autoSpaceDN/>
              <w:bidi w:val="0"/>
              <w:adjustRightInd w:val="0"/>
              <w:spacing w:line="0" w:lineRule="atLeast"/>
              <w:ind w:firstLine="280" w:firstLineChars="100"/>
              <w:jc w:val="both"/>
              <w:textAlignment w:val="auto"/>
              <w:outlineLvl w:val="9"/>
              <w:rPr>
                <w:rFonts w:hint="eastAsia" w:ascii="仿宋_GB2312" w:hAnsi="仿宋_GB2312" w:eastAsia="仿宋_GB2312" w:cs="仿宋_GB2312"/>
                <w:bCs/>
                <w:color w:val="000000"/>
                <w:sz w:val="28"/>
                <w:szCs w:val="28"/>
              </w:rPr>
            </w:pPr>
            <w:bookmarkStart w:id="3" w:name="_GoBack"/>
            <w:bookmarkEnd w:id="3"/>
            <w:r>
              <w:rPr>
                <w:rFonts w:hint="eastAsia" w:ascii="仿宋_GB2312" w:hAnsi="仿宋_GB2312" w:eastAsia="仿宋_GB2312" w:cs="仿宋_GB2312"/>
                <w:bCs/>
                <w:color w:val="000000"/>
                <w:sz w:val="28"/>
                <w:szCs w:val="28"/>
              </w:rPr>
              <w:t>GB 18382-2001</w:t>
            </w:r>
          </w:p>
          <w:p>
            <w:pPr>
              <w:keepNext w:val="0"/>
              <w:keepLines w:val="0"/>
              <w:pageBreakBefore w:val="0"/>
              <w:widowControl w:val="0"/>
              <w:kinsoku/>
              <w:wordWrap/>
              <w:overflowPunct/>
              <w:topLinePunct w:val="0"/>
              <w:autoSpaceDE/>
              <w:autoSpaceDN/>
              <w:bidi w:val="0"/>
              <w:adjustRightInd w:val="0"/>
              <w:spacing w:line="0" w:lineRule="atLeast"/>
              <w:jc w:val="center"/>
              <w:textAlignment w:val="auto"/>
              <w:outlineLvl w:val="9"/>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GB/T 18877-2009</w:t>
            </w:r>
          </w:p>
        </w:tc>
      </w:tr>
    </w:tbl>
    <w:p>
      <w:pPr>
        <w:keepNext w:val="0"/>
        <w:keepLines w:val="0"/>
        <w:pageBreakBefore w:val="0"/>
        <w:widowControl w:val="0"/>
        <w:kinsoku/>
        <w:wordWrap/>
        <w:overflowPunct/>
        <w:topLinePunct w:val="0"/>
        <w:autoSpaceDE/>
        <w:autoSpaceDN/>
        <w:bidi w:val="0"/>
        <w:adjustRightInd w:val="0"/>
        <w:snapToGrid w:val="0"/>
        <w:spacing w:line="0" w:lineRule="atLeast"/>
        <w:ind w:firstLine="640" w:firstLineChars="20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执行企业标准、团体标准、地方标准的产品，检验项目参照上述内容执行。</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 判定规则</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3.1依据标准</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15063-2009 复混肥料（复合肥料）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 18382-2001 肥料标识 内容和要求</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18877-2009 有机-无机复混肥料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GB/T 21633-2008 掺混肥料（BB肥）</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3.2判定原则</w:t>
      </w:r>
    </w:p>
    <w:p>
      <w:pPr>
        <w:keepNext w:val="0"/>
        <w:keepLines w:val="0"/>
        <w:pageBreakBefore w:val="0"/>
        <w:kinsoku/>
        <w:wordWrap/>
        <w:overflowPunct/>
        <w:topLinePunct w:val="0"/>
        <w:autoSpaceDE/>
        <w:autoSpaceDN/>
        <w:bidi w:val="0"/>
        <w:spacing w:line="240" w:lineRule="auto"/>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w:t>
      </w:r>
      <w:r>
        <w:rPr>
          <w:rFonts w:hint="eastAsia" w:ascii="仿宋_GB2312" w:hAnsi="仿宋_GB2312" w:eastAsia="仿宋_GB2312" w:cs="仿宋_GB2312"/>
          <w:color w:val="000000"/>
          <w:sz w:val="32"/>
          <w:szCs w:val="32"/>
        </w:rPr>
        <w:t xml:space="preserve">GB/T 15063-2009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 18382-2001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GB/T 18877-2009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GB/T 21633-2008</w:t>
      </w:r>
      <w:r>
        <w:rPr>
          <w:rFonts w:hint="eastAsia" w:ascii="仿宋_GB2312" w:hAnsi="仿宋_GB2312" w:eastAsia="仿宋_GB2312" w:cs="仿宋_GB2312"/>
          <w:color w:val="000000"/>
          <w:sz w:val="32"/>
          <w:szCs w:val="32"/>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keepNext w:val="0"/>
        <w:keepLines w:val="0"/>
        <w:pageBreakBefore w:val="0"/>
        <w:kinsoku/>
        <w:wordWrap/>
        <w:overflowPunct/>
        <w:topLinePunct w:val="0"/>
        <w:autoSpaceDE/>
        <w:autoSpaceDN/>
        <w:bidi w:val="0"/>
        <w:spacing w:line="240" w:lineRule="auto"/>
        <w:ind w:firstLine="643" w:firstLineChars="200"/>
        <w:rPr>
          <w:rFonts w:hint="eastAsia" w:asciiTheme="majorEastAsia" w:hAnsiTheme="majorEastAsia" w:eastAsiaTheme="majorEastAsia" w:cstheme="majorEastAsia"/>
          <w:b/>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AC"/>
    <w:rsid w:val="004F0AAC"/>
    <w:rsid w:val="6402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2020-08-13T09:10:00Z</dcterms:created>
  <dc:creator>徐立君</dc:creator>
  <cp:lastModifiedBy>徐立君</cp:lastModifiedBy>
  <dcterms:modified xsi:type="dcterms:W3CDTF">2020-08-13T23:14:45Z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