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黑龙江省2020年</w:t>
      </w:r>
      <w:r>
        <w:rPr>
          <w:rFonts w:hint="eastAsia" w:ascii="黑体" w:hAnsi="黑体" w:eastAsia="黑体" w:cs="黑体"/>
          <w:color w:val="000000"/>
          <w:sz w:val="32"/>
          <w:szCs w:val="32"/>
        </w:rPr>
        <w:t>眼镜架产品质量</w:t>
      </w:r>
      <w:r>
        <w:rPr>
          <w:rFonts w:hint="eastAsia" w:ascii="黑体" w:hAnsi="黑体" w:eastAsia="黑体" w:cs="黑体"/>
          <w:color w:val="000000"/>
          <w:sz w:val="32"/>
          <w:szCs w:val="32"/>
          <w:lang w:eastAsia="zh-CN"/>
        </w:rPr>
        <w:t>省级</w:t>
      </w:r>
      <w:r>
        <w:rPr>
          <w:rFonts w:hint="eastAsia" w:ascii="黑体" w:hAnsi="黑体" w:eastAsia="黑体" w:cs="黑体"/>
          <w:color w:val="000000"/>
          <w:sz w:val="32"/>
          <w:szCs w:val="32"/>
        </w:rPr>
        <w:t>监督抽查实施细则</w:t>
      </w:r>
    </w:p>
    <w:p>
      <w:pPr>
        <w:adjustRightInd w:val="0"/>
        <w:snapToGrid w:val="0"/>
        <w:spacing w:line="594" w:lineRule="exact"/>
        <w:jc w:val="center"/>
        <w:rPr>
          <w:rFonts w:eastAsia="方正小标宋简体" w:cs="方正仿宋简体"/>
          <w:color w:val="000000"/>
          <w:sz w:val="32"/>
          <w:szCs w:val="32"/>
        </w:rPr>
      </w:pPr>
    </w:p>
    <w:p>
      <w:pPr>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 抽样方法</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以随机抽样的方式在被抽样生产者、销售者的待销产品中抽取。</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随机数一般可使用随机数表等方法产生。</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每批次产品抽取样品8副，其中4副作为检验样品，4副作为备用样品。</w:t>
      </w:r>
    </w:p>
    <w:p>
      <w:pPr>
        <w:snapToGrid w:val="0"/>
        <w:spacing w:line="440" w:lineRule="exact"/>
        <w:rPr>
          <w:rFonts w:hint="eastAsia" w:ascii="仿宋_GB2312" w:hAnsi="仿宋_GB2312" w:eastAsia="仿宋_GB2312" w:cs="仿宋_GB2312"/>
          <w:b/>
          <w:bCs/>
          <w:color w:val="000000"/>
          <w:sz w:val="32"/>
          <w:szCs w:val="32"/>
        </w:rPr>
      </w:pPr>
    </w:p>
    <w:p>
      <w:pPr>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 检验依据</w:t>
      </w:r>
    </w:p>
    <w:p>
      <w:pPr>
        <w:snapToGrid w:val="0"/>
        <w:spacing w:line="440" w:lineRule="exact"/>
        <w:rPr>
          <w:rFonts w:hint="eastAsia" w:ascii="仿宋_GB2312" w:hAnsi="仿宋_GB2312" w:eastAsia="仿宋_GB2312" w:cs="仿宋_GB2312"/>
          <w:b/>
          <w:bCs/>
          <w:color w:val="000000"/>
          <w:sz w:val="32"/>
          <w:szCs w:val="32"/>
        </w:rPr>
      </w:pPr>
    </w:p>
    <w:tbl>
      <w:tblPr>
        <w:tblStyle w:val="5"/>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3"/>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90"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453"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521"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453" w:type="dxa"/>
            <w:vAlign w:val="center"/>
          </w:tcPr>
          <w:p>
            <w:pPr>
              <w:pStyle w:val="6"/>
              <w:widowControl w:val="0"/>
              <w:numPr>
                <w:ilvl w:val="0"/>
                <w:numId w:val="0"/>
              </w:numPr>
              <w:snapToGrid w:val="0"/>
              <w:spacing w:beforeLines="0" w:afterLines="0"/>
              <w:jc w:val="center"/>
              <w:outlineLvl w:val="9"/>
              <w:rPr>
                <w:rFonts w:hint="eastAsia" w:ascii="仿宋_GB2312" w:hAnsi="仿宋_GB2312" w:eastAsia="仿宋_GB2312" w:cs="仿宋_GB2312"/>
                <w:color w:val="000000"/>
                <w:kern w:val="2"/>
                <w:sz w:val="28"/>
                <w:szCs w:val="28"/>
              </w:rPr>
            </w:pPr>
            <w:bookmarkStart w:id="0" w:name="_Toc8741"/>
            <w:r>
              <w:rPr>
                <w:rFonts w:hint="eastAsia" w:ascii="仿宋_GB2312" w:hAnsi="仿宋_GB2312" w:eastAsia="仿宋_GB2312" w:cs="仿宋_GB2312"/>
                <w:color w:val="000000"/>
                <w:kern w:val="2"/>
                <w:sz w:val="28"/>
                <w:szCs w:val="28"/>
              </w:rPr>
              <w:t>高温尺寸稳定性</w:t>
            </w:r>
            <w:bookmarkEnd w:id="0"/>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1" w:name="_Toc21023"/>
            <w:r>
              <w:rPr>
                <w:rFonts w:hint="eastAsia" w:ascii="仿宋_GB2312" w:hAnsi="仿宋_GB2312" w:eastAsia="仿宋_GB2312" w:cs="仿宋_GB2312"/>
                <w:color w:val="000000"/>
                <w:sz w:val="28"/>
                <w:szCs w:val="28"/>
              </w:rPr>
              <w:t>抗拉性能</w:t>
            </w:r>
            <w:bookmarkEnd w:id="1"/>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2" w:name="_Toc27564"/>
            <w:r>
              <w:rPr>
                <w:rFonts w:hint="eastAsia" w:ascii="仿宋_GB2312" w:hAnsi="仿宋_GB2312" w:eastAsia="仿宋_GB2312" w:cs="仿宋_GB2312"/>
                <w:color w:val="000000"/>
                <w:sz w:val="28"/>
                <w:szCs w:val="28"/>
              </w:rPr>
              <w:t>鼻梁变形</w:t>
            </w:r>
            <w:bookmarkEnd w:id="2"/>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3" w:name="_Toc28683"/>
            <w:r>
              <w:rPr>
                <w:rFonts w:hint="eastAsia" w:ascii="仿宋_GB2312" w:hAnsi="仿宋_GB2312" w:eastAsia="仿宋_GB2312" w:cs="仿宋_GB2312"/>
                <w:color w:val="000000"/>
                <w:sz w:val="28"/>
                <w:szCs w:val="28"/>
              </w:rPr>
              <w:t>镜片夹持力</w:t>
            </w:r>
            <w:bookmarkEnd w:id="3"/>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4" w:name="_Toc17253"/>
            <w:r>
              <w:rPr>
                <w:rFonts w:hint="eastAsia" w:ascii="仿宋_GB2312" w:hAnsi="仿宋_GB2312" w:eastAsia="仿宋_GB2312" w:cs="仿宋_GB2312"/>
                <w:color w:val="000000"/>
                <w:sz w:val="28"/>
                <w:szCs w:val="28"/>
              </w:rPr>
              <w:t>耐疲劳</w:t>
            </w:r>
            <w:bookmarkEnd w:id="4"/>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5" w:name="_Toc11366"/>
            <w:r>
              <w:rPr>
                <w:rFonts w:hint="eastAsia" w:ascii="仿宋_GB2312" w:hAnsi="仿宋_GB2312" w:eastAsia="仿宋_GB2312" w:cs="仿宋_GB2312"/>
                <w:color w:val="000000"/>
                <w:sz w:val="28"/>
                <w:szCs w:val="28"/>
              </w:rPr>
              <w:t>镀层结合力</w:t>
            </w:r>
            <w:bookmarkEnd w:id="5"/>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6" w:name="_Toc4427"/>
            <w:r>
              <w:rPr>
                <w:rFonts w:hint="eastAsia" w:ascii="仿宋_GB2312" w:hAnsi="仿宋_GB2312" w:eastAsia="仿宋_GB2312" w:cs="仿宋_GB2312"/>
                <w:color w:val="000000"/>
                <w:sz w:val="28"/>
                <w:szCs w:val="28"/>
              </w:rPr>
              <w:t>抗汗腐蚀</w:t>
            </w:r>
            <w:bookmarkEnd w:id="6"/>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453" w:type="dxa"/>
            <w:vAlign w:val="center"/>
          </w:tcPr>
          <w:p>
            <w:pPr>
              <w:pStyle w:val="6"/>
              <w:widowControl w:val="0"/>
              <w:numPr>
                <w:ilvl w:val="0"/>
                <w:numId w:val="0"/>
              </w:numPr>
              <w:snapToGrid w:val="0"/>
              <w:spacing w:beforeLines="0" w:afterLines="0"/>
              <w:jc w:val="center"/>
              <w:outlineLvl w:val="9"/>
              <w:rPr>
                <w:rFonts w:hint="eastAsia" w:ascii="仿宋_GB2312" w:hAnsi="仿宋_GB2312" w:eastAsia="仿宋_GB2312" w:cs="仿宋_GB2312"/>
                <w:color w:val="000000"/>
                <w:kern w:val="2"/>
                <w:sz w:val="28"/>
                <w:szCs w:val="28"/>
              </w:rPr>
            </w:pPr>
            <w:bookmarkStart w:id="7" w:name="_Toc27161"/>
            <w:r>
              <w:rPr>
                <w:rFonts w:hint="eastAsia" w:ascii="仿宋_GB2312" w:hAnsi="仿宋_GB2312" w:eastAsia="仿宋_GB2312" w:cs="仿宋_GB2312"/>
                <w:color w:val="000000"/>
                <w:kern w:val="2"/>
                <w:sz w:val="28"/>
                <w:szCs w:val="28"/>
              </w:rPr>
              <w:t>阻燃性</w:t>
            </w:r>
            <w:bookmarkEnd w:id="7"/>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bl>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bookmarkStart w:id="8" w:name="_GoBack"/>
      <w:bookmarkEnd w:id="8"/>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p>
    <w:p>
      <w:pPr>
        <w:spacing w:line="360" w:lineRule="auto"/>
        <w:rPr>
          <w:rFonts w:eastAsia="黑体"/>
          <w:color w:val="000000"/>
          <w:sz w:val="32"/>
          <w:szCs w:val="32"/>
        </w:rPr>
      </w:pPr>
      <w:r>
        <w:rPr>
          <w:rFonts w:eastAsia="黑体"/>
          <w:color w:val="000000"/>
          <w:sz w:val="32"/>
          <w:szCs w:val="32"/>
        </w:rPr>
        <w:t>3 判定规则</w:t>
      </w:r>
    </w:p>
    <w:p>
      <w:pPr>
        <w:pStyle w:val="3"/>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3.1依据标准</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GB/T 14214-2003 眼镜架 通用要求和试验方法</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现行有效的企业标准、团体标准、地方标准及产品明示质量要求</w:t>
      </w:r>
    </w:p>
    <w:p>
      <w:pPr>
        <w:pStyle w:val="3"/>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lang w:val="en-US" w:eastAsia="zh-CN"/>
        </w:rPr>
        <w:t>GB/T 14214-2003判定。</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3"/>
        <w:widowControl/>
        <w:shd w:val="clear" w:color="auto" w:fill="FFFFFF"/>
        <w:spacing w:beforeAutospacing="0" w:afterAutospacing="0"/>
        <w:ind w:right="45" w:firstLine="640" w:firstLineChars="200"/>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6"/>
      <w:suff w:val="nothing"/>
      <w:lvlText w:val="%1%2　"/>
      <w:lvlJc w:val="left"/>
      <w:rPr>
        <w:rFonts w:hint="eastAsia" w:ascii="??_GB2312" w:hAnsi="Times New Roman" w:eastAsia="Times New Roman"/>
        <w:b w:val="0"/>
        <w:bCs w:val="0"/>
        <w:i w:val="0"/>
        <w:iCs w:val="0"/>
        <w:sz w:val="28"/>
        <w:szCs w:val="28"/>
      </w:rPr>
    </w:lvl>
    <w:lvl w:ilvl="2" w:tentative="0">
      <w:start w:val="1"/>
      <w:numFmt w:val="decimal"/>
      <w:suff w:val="nothing"/>
      <w:lvlText w:val="%1%2.%3　"/>
      <w:lvlJc w:val="left"/>
      <w:pPr>
        <w:ind w:left="710"/>
      </w:pPr>
      <w:rPr>
        <w:rFonts w:hint="eastAsia" w:ascii="??_GB2312" w:hAnsi="Times New Roman" w:eastAsia="Times New Roman"/>
        <w:b w:val="0"/>
        <w:bCs w:val="0"/>
        <w:i w:val="0"/>
        <w:iCs w:val="0"/>
        <w:sz w:val="28"/>
        <w:szCs w:val="28"/>
      </w:rPr>
    </w:lvl>
    <w:lvl w:ilvl="3" w:tentative="0">
      <w:start w:val="1"/>
      <w:numFmt w:val="decimal"/>
      <w:suff w:val="nothing"/>
      <w:lvlText w:val="%1%2.3.%4　"/>
      <w:lvlJc w:val="left"/>
      <w:pPr>
        <w:ind w:left="993"/>
      </w:pPr>
      <w:rPr>
        <w:rFonts w:hint="eastAsia" w:ascii="??_GB2312" w:hAnsi="Times New Roman" w:eastAsia="Times New Roman"/>
        <w:b w:val="0"/>
        <w:bCs w:val="0"/>
        <w:i w:val="0"/>
        <w:iCs w:val="0"/>
        <w:sz w:val="28"/>
        <w:szCs w:val="28"/>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420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07B55"/>
    <w:rsid w:val="15D71630"/>
    <w:rsid w:val="28E07B55"/>
    <w:rsid w:val="6B4C1A0D"/>
    <w:rsid w:val="73A1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章标题"/>
    <w:next w:val="1"/>
    <w:qFormat/>
    <w:uiPriority w:val="99"/>
    <w:pPr>
      <w:numPr>
        <w:ilvl w:val="1"/>
        <w:numId w:val="1"/>
      </w:numPr>
      <w:spacing w:beforeLines="50" w:afterLines="50"/>
      <w:jc w:val="both"/>
      <w:outlineLvl w:val="1"/>
    </w:pPr>
    <w:rPr>
      <w:rFonts w:ascii="黑体" w:hAnsi="Calibri" w:eastAsia="黑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2020-08-13T09:01:00Z</dcterms:created>
  <dc:creator>徐立君</dc:creator>
  <cp:lastModifiedBy>徐立君</cp:lastModifiedBy>
  <dcterms:modified xsi:type="dcterms:W3CDTF">2020-08-14T00:50:22Z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