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60" w:lineRule="exact"/>
        <w:jc w:val="left"/>
        <w:rPr>
          <w:rFonts w:hint="eastAsia" w:ascii="黑体" w:hAnsi="黑体" w:eastAsia="黑体" w:cs="黑体"/>
          <w:b w:val="0"/>
          <w:bCs w:val="0"/>
          <w:color w:val="333333"/>
          <w:sz w:val="32"/>
          <w:szCs w:val="32"/>
          <w:shd w:val="clear" w:color="auto" w:fill="FFFFFF"/>
        </w:rPr>
      </w:pPr>
      <w:r>
        <w:rPr>
          <w:rFonts w:hint="eastAsia" w:ascii="黑体" w:hAnsi="黑体" w:eastAsia="黑体" w:cs="黑体"/>
          <w:b w:val="0"/>
          <w:bCs w:val="0"/>
          <w:sz w:val="32"/>
          <w:szCs w:val="32"/>
          <w:lang w:val="en-US" w:eastAsia="zh-CN"/>
        </w:rPr>
        <w:t>黑龙江省2020年</w:t>
      </w:r>
      <w:r>
        <w:rPr>
          <w:rFonts w:hint="eastAsia" w:ascii="黑体" w:hAnsi="黑体" w:eastAsia="黑体" w:cs="黑体"/>
          <w:b w:val="0"/>
          <w:bCs w:val="0"/>
          <w:color w:val="333333"/>
          <w:sz w:val="32"/>
          <w:szCs w:val="32"/>
          <w:shd w:val="clear" w:color="auto" w:fill="FFFFFF"/>
        </w:rPr>
        <w:t>儿童及婴幼儿服装产品质量</w:t>
      </w:r>
      <w:r>
        <w:rPr>
          <w:rFonts w:hint="eastAsia" w:ascii="黑体" w:hAnsi="黑体" w:eastAsia="黑体" w:cs="黑体"/>
          <w:b w:val="0"/>
          <w:bCs w:val="0"/>
          <w:color w:val="333333"/>
          <w:sz w:val="32"/>
          <w:szCs w:val="32"/>
          <w:shd w:val="clear" w:color="auto" w:fill="FFFFFF"/>
          <w:lang w:eastAsia="zh-CN"/>
        </w:rPr>
        <w:t>省级</w:t>
      </w:r>
      <w:r>
        <w:rPr>
          <w:rFonts w:hint="eastAsia" w:ascii="黑体" w:hAnsi="黑体" w:eastAsia="黑体" w:cs="黑体"/>
          <w:b w:val="0"/>
          <w:bCs w:val="0"/>
          <w:color w:val="333333"/>
          <w:sz w:val="32"/>
          <w:szCs w:val="32"/>
          <w:shd w:val="clear" w:color="auto" w:fill="FFFFFF"/>
        </w:rPr>
        <w:t>监督抽查实施细则</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rPr>
      </w:pPr>
    </w:p>
    <w:p>
      <w:pPr>
        <w:pStyle w:val="2"/>
        <w:widowControl/>
        <w:spacing w:beforeAutospacing="0" w:afterAutospacing="0"/>
        <w:jc w:val="both"/>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1 抽样方法</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以随机抽样的方式在被抽样生产者、销售者的待销产品中抽取。</w:t>
      </w:r>
    </w:p>
    <w:p>
      <w:pPr>
        <w:pStyle w:val="2"/>
        <w:widowControl/>
        <w:spacing w:beforeAutospacing="0" w:afterAutospacing="0"/>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随机数一般可使用随机数表等方法产生。</w:t>
      </w:r>
    </w:p>
    <w:p>
      <w:pPr>
        <w:pStyle w:val="2"/>
        <w:widowControl/>
        <w:spacing w:beforeAutospacing="0" w:afterAutospacing="0"/>
        <w:ind w:firstLine="640" w:firstLineChars="200"/>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抽取样品数量表</w:t>
      </w:r>
    </w:p>
    <w:tbl>
      <w:tblPr>
        <w:tblStyle w:val="4"/>
        <w:tblW w:w="8513" w:type="dxa"/>
        <w:jc w:val="center"/>
        <w:tblInd w:w="377" w:type="dxa"/>
        <w:tblLayout w:type="fixed"/>
        <w:tblCellMar>
          <w:top w:w="0" w:type="dxa"/>
          <w:left w:w="45" w:type="dxa"/>
          <w:bottom w:w="0" w:type="dxa"/>
          <w:right w:w="45" w:type="dxa"/>
        </w:tblCellMar>
      </w:tblPr>
      <w:tblGrid>
        <w:gridCol w:w="911"/>
        <w:gridCol w:w="1827"/>
        <w:gridCol w:w="1725"/>
        <w:gridCol w:w="2143"/>
        <w:gridCol w:w="1907"/>
      </w:tblGrid>
      <w:tr>
        <w:tblPrEx>
          <w:tblLayout w:type="fixed"/>
          <w:tblCellMar>
            <w:top w:w="0" w:type="dxa"/>
            <w:left w:w="45" w:type="dxa"/>
            <w:bottom w:w="0" w:type="dxa"/>
            <w:right w:w="45" w:type="dxa"/>
          </w:tblCellMar>
        </w:tblPrEx>
        <w:trPr>
          <w:trHeight w:val="23" w:hRule="atLeast"/>
          <w:jc w:val="center"/>
        </w:trPr>
        <w:tc>
          <w:tcPr>
            <w:tcW w:w="911"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序号</w:t>
            </w:r>
          </w:p>
        </w:tc>
        <w:tc>
          <w:tcPr>
            <w:tcW w:w="1827" w:type="dxa"/>
            <w:tcBorders>
              <w:top w:val="single" w:color="000000" w:sz="6" w:space="0"/>
              <w:left w:val="single" w:color="000000" w:sz="6" w:space="0"/>
              <w:bottom w:val="single" w:color="000000" w:sz="2" w:space="0"/>
              <w:right w:val="single" w:color="000000" w:sz="2" w:space="0"/>
            </w:tcBorders>
            <w:vAlign w:val="center"/>
          </w:tcPr>
          <w:p>
            <w:pPr>
              <w:adjustRightInd w:val="0"/>
              <w:snapToGrid w:val="0"/>
              <w:spacing w:line="44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产品种类</w:t>
            </w:r>
          </w:p>
        </w:tc>
        <w:tc>
          <w:tcPr>
            <w:tcW w:w="1725"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抽样数量</w:t>
            </w:r>
          </w:p>
          <w:p>
            <w:pPr>
              <w:adjustRightInd w:val="0"/>
              <w:snapToGrid w:val="0"/>
              <w:spacing w:line="44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w:t>
            </w:r>
            <w:r>
              <w:rPr>
                <w:rFonts w:hint="eastAsia" w:ascii="仿宋_GB2312" w:hAnsi="仿宋_GB2312" w:eastAsia="仿宋_GB2312" w:cs="仿宋_GB2312"/>
                <w:color w:val="000000"/>
                <w:sz w:val="28"/>
                <w:szCs w:val="28"/>
              </w:rPr>
              <w:t>件/条/套）</w:t>
            </w:r>
          </w:p>
        </w:tc>
        <w:tc>
          <w:tcPr>
            <w:tcW w:w="2143"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检验样品数量</w:t>
            </w:r>
          </w:p>
          <w:p>
            <w:pPr>
              <w:adjustRightInd w:val="0"/>
              <w:snapToGrid w:val="0"/>
              <w:spacing w:line="44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color w:val="000000"/>
                <w:sz w:val="28"/>
                <w:szCs w:val="28"/>
              </w:rPr>
              <w:t>（件/条/套）</w:t>
            </w:r>
          </w:p>
        </w:tc>
        <w:tc>
          <w:tcPr>
            <w:tcW w:w="1907" w:type="dxa"/>
            <w:tcBorders>
              <w:top w:val="single" w:color="000000" w:sz="6" w:space="0"/>
              <w:left w:val="single" w:color="000000" w:sz="2" w:space="0"/>
              <w:bottom w:val="single" w:color="000000" w:sz="2" w:space="0"/>
              <w:right w:val="single" w:color="000000" w:sz="6" w:space="0"/>
            </w:tcBorders>
            <w:vAlign w:val="center"/>
          </w:tcPr>
          <w:p>
            <w:pPr>
              <w:adjustRightInd w:val="0"/>
              <w:snapToGrid w:val="0"/>
              <w:spacing w:line="440" w:lineRule="exact"/>
              <w:jc w:val="center"/>
              <w:rPr>
                <w:rFonts w:hint="eastAsia"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备用样品数量（件/条/套）</w:t>
            </w:r>
          </w:p>
        </w:tc>
      </w:tr>
      <w:tr>
        <w:tblPrEx>
          <w:tblLayout w:type="fixed"/>
          <w:tblCellMar>
            <w:top w:w="0" w:type="dxa"/>
            <w:left w:w="45" w:type="dxa"/>
            <w:bottom w:w="0" w:type="dxa"/>
            <w:right w:w="45" w:type="dxa"/>
          </w:tblCellMar>
        </w:tblPrEx>
        <w:trPr>
          <w:trHeight w:val="23" w:hRule="atLeast"/>
          <w:jc w:val="center"/>
        </w:trPr>
        <w:tc>
          <w:tcPr>
            <w:tcW w:w="911"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1827"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儿童服装</w:t>
            </w:r>
          </w:p>
        </w:tc>
        <w:tc>
          <w:tcPr>
            <w:tcW w:w="1725"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2143"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1907"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r>
      <w:tr>
        <w:tblPrEx>
          <w:tblLayout w:type="fixed"/>
          <w:tblCellMar>
            <w:top w:w="0" w:type="dxa"/>
            <w:left w:w="45" w:type="dxa"/>
            <w:bottom w:w="0" w:type="dxa"/>
            <w:right w:w="45" w:type="dxa"/>
          </w:tblCellMar>
        </w:tblPrEx>
        <w:trPr>
          <w:trHeight w:val="23" w:hRule="atLeast"/>
          <w:jc w:val="center"/>
        </w:trPr>
        <w:tc>
          <w:tcPr>
            <w:tcW w:w="911"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1827" w:type="dxa"/>
            <w:tcBorders>
              <w:top w:val="single" w:color="000000" w:sz="2" w:space="0"/>
              <w:left w:val="single" w:color="000000" w:sz="6" w:space="0"/>
              <w:bottom w:val="single" w:color="000000" w:sz="2" w:space="0"/>
              <w:right w:val="single" w:color="000000" w:sz="2"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婴幼儿服装</w:t>
            </w:r>
          </w:p>
        </w:tc>
        <w:tc>
          <w:tcPr>
            <w:tcW w:w="1725"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2143"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1907" w:type="dxa"/>
            <w:tcBorders>
              <w:top w:val="single" w:color="000000" w:sz="2" w:space="0"/>
              <w:left w:val="single" w:color="000000" w:sz="2" w:space="0"/>
              <w:bottom w:val="single" w:color="000000" w:sz="2" w:space="0"/>
              <w:right w:val="single" w:color="000000" w:sz="6" w:space="0"/>
            </w:tcBorders>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r>
      <w:tr>
        <w:tblPrEx>
          <w:tblLayout w:type="fixed"/>
          <w:tblCellMar>
            <w:top w:w="0" w:type="dxa"/>
            <w:left w:w="45" w:type="dxa"/>
            <w:bottom w:w="0" w:type="dxa"/>
            <w:right w:w="45" w:type="dxa"/>
          </w:tblCellMar>
        </w:tblPrEx>
        <w:trPr>
          <w:trHeight w:val="23" w:hRule="atLeast"/>
          <w:jc w:val="center"/>
        </w:trPr>
        <w:tc>
          <w:tcPr>
            <w:tcW w:w="8513" w:type="dxa"/>
            <w:gridSpan w:val="5"/>
            <w:tcBorders>
              <w:top w:val="single" w:color="000000" w:sz="2" w:space="0"/>
              <w:left w:val="single" w:color="000000" w:sz="6" w:space="0"/>
              <w:bottom w:val="single" w:color="000000" w:sz="6" w:space="0"/>
              <w:right w:val="single" w:color="000000" w:sz="6" w:space="0"/>
            </w:tcBorders>
            <w:vAlign w:val="center"/>
          </w:tcPr>
          <w:p>
            <w:pPr>
              <w:adjustRightInd w:val="0"/>
              <w:snapToGrid w:val="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 w:val="24"/>
                <w:szCs w:val="24"/>
              </w:rPr>
              <w:t>注：如样品面积过小，可适当增加抽样数量，不得超过检验、复检的合理需要。</w:t>
            </w:r>
          </w:p>
        </w:tc>
      </w:tr>
    </w:tbl>
    <w:p>
      <w:pPr>
        <w:adjustRightInd w:val="0"/>
        <w:snapToGrid w:val="0"/>
        <w:spacing w:line="440" w:lineRule="exact"/>
        <w:ind w:firstLine="420" w:firstLineChars="200"/>
        <w:rPr>
          <w:rFonts w:hint="eastAsia" w:ascii="仿宋_GB2312" w:hAnsi="仿宋_GB2312" w:eastAsia="仿宋_GB2312" w:cs="仿宋_GB2312"/>
          <w:color w:val="000000"/>
          <w:szCs w:val="21"/>
          <w:lang w:val="en-US" w:eastAsia="zh-CN"/>
        </w:rPr>
      </w:pPr>
    </w:p>
    <w:p>
      <w:pPr>
        <w:adjustRightInd w:val="0"/>
        <w:snapToGrid w:val="0"/>
        <w:spacing w:line="440" w:lineRule="exact"/>
        <w:rPr>
          <w:rFonts w:hint="eastAsia" w:ascii="Times New Roman" w:hAnsi="Times New Roman" w:eastAsia="黑体"/>
          <w:color w:val="000000"/>
          <w:sz w:val="32"/>
          <w:szCs w:val="32"/>
        </w:rPr>
      </w:pPr>
      <w:r>
        <w:rPr>
          <w:rFonts w:hint="eastAsia" w:ascii="Times New Roman" w:hAnsi="Times New Roman" w:eastAsia="黑体"/>
          <w:color w:val="000000"/>
          <w:sz w:val="32"/>
          <w:szCs w:val="32"/>
        </w:rPr>
        <w:t>2 检验依据</w:t>
      </w:r>
    </w:p>
    <w:p>
      <w:pPr>
        <w:adjustRightInd w:val="0"/>
        <w:snapToGrid w:val="0"/>
        <w:spacing w:line="440" w:lineRule="exact"/>
        <w:rPr>
          <w:rFonts w:hint="eastAsia" w:ascii="Times New Roman" w:hAnsi="Times New Roman" w:eastAsia="黑体"/>
          <w:color w:val="000000"/>
          <w:sz w:val="32"/>
          <w:szCs w:val="32"/>
        </w:rPr>
      </w:pPr>
    </w:p>
    <w:tbl>
      <w:tblPr>
        <w:tblStyle w:val="4"/>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120"/>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959" w:type="dxa"/>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4120" w:type="dxa"/>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检验项目</w:t>
            </w:r>
          </w:p>
        </w:tc>
        <w:tc>
          <w:tcPr>
            <w:tcW w:w="3436" w:type="dxa"/>
            <w:vAlign w:val="center"/>
          </w:tcPr>
          <w:p>
            <w:pPr>
              <w:adjustRightInd w:val="0"/>
              <w:snapToGrid w:val="0"/>
              <w:spacing w:line="44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甲醛含量</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pH值</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可分解致癌芳香胺染料</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17592-2011</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耐水色牢度</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耐酸汗渍色牢度</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耐碱汗渍色牢度</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耐干摩擦色牢度</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耐湿摩擦色牢度</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耐唾液色牢度</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18886-2002</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18886-2019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纤维含量</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01057.1-2007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01057.2-2007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01057.3-2007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01057.4-2007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2910.2-2009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2910.3-2009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2910.4-2009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2910.6-2009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2910.7-2009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2910.8-2009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2910.11-2009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2910.12-2009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2910.18-2009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2910.20-2009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2910.22-2009</w:t>
            </w:r>
          </w:p>
          <w:p>
            <w:pPr>
              <w:adjustRightInd w:val="0"/>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GB/T 2910.101-2009</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01101-2008</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01026-2017</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01095-2002</w:t>
            </w:r>
          </w:p>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FZ/T 30003-2009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附件抗拉强力</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31701-2015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绳带要求</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 31701-2015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w:t>
            </w:r>
          </w:p>
        </w:tc>
        <w:tc>
          <w:tcPr>
            <w:tcW w:w="4120"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附件锐利性</w:t>
            </w:r>
          </w:p>
        </w:tc>
        <w:tc>
          <w:tcPr>
            <w:tcW w:w="3436" w:type="dxa"/>
            <w:vAlign w:val="center"/>
          </w:tcPr>
          <w:p>
            <w:pPr>
              <w:adjustRightInd w:val="0"/>
              <w:snapToGrid w:val="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GB/T 31702-2015</w:t>
            </w:r>
          </w:p>
        </w:tc>
      </w:tr>
    </w:tbl>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333333"/>
          <w:sz w:val="32"/>
          <w:szCs w:val="32"/>
          <w:shd w:val="clear" w:color="auto" w:fill="FFFFFF"/>
        </w:rPr>
      </w:pP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333333"/>
          <w:sz w:val="32"/>
          <w:szCs w:val="32"/>
          <w:shd w:val="clear" w:color="auto" w:fill="FFFFFF"/>
        </w:rPr>
      </w:pPr>
      <w:bookmarkStart w:id="0" w:name="_GoBack"/>
      <w:bookmarkEnd w:id="0"/>
      <w:r>
        <w:rPr>
          <w:rFonts w:hint="eastAsia" w:ascii="仿宋_GB2312" w:hAnsi="仿宋_GB2312" w:eastAsia="仿宋_GB2312" w:cs="仿宋_GB2312"/>
          <w:color w:val="333333"/>
          <w:sz w:val="32"/>
          <w:szCs w:val="32"/>
          <w:shd w:val="clear" w:color="auto" w:fill="FFFFFF"/>
        </w:rPr>
        <w:t>执行企业标准、团体标准、地方标准的产品，检验项目参照上述内容执行。</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凡是注日期的文件，其随后所有的修改单（不包括勘误的内容）或修订版不适用于本细则。凡是不注日期的文件，其最新版本适用于本细则。</w:t>
      </w:r>
    </w:p>
    <w:p>
      <w:pPr>
        <w:adjustRightInd w:val="0"/>
        <w:snapToGrid w:val="0"/>
        <w:spacing w:line="440" w:lineRule="exact"/>
        <w:ind w:firstLine="547" w:firstLineChars="171"/>
        <w:rPr>
          <w:rFonts w:hint="eastAsia" w:ascii="仿宋_GB2312" w:hAnsi="仿宋_GB2312" w:eastAsia="仿宋_GB2312" w:cs="仿宋_GB2312"/>
          <w:color w:val="000000"/>
          <w:sz w:val="32"/>
          <w:szCs w:val="32"/>
        </w:rPr>
      </w:pPr>
    </w:p>
    <w:p>
      <w:pPr>
        <w:pStyle w:val="2"/>
        <w:widowControl/>
        <w:shd w:val="clear" w:color="auto" w:fill="FFFFFF"/>
        <w:spacing w:beforeAutospacing="0" w:afterAutospacing="0"/>
        <w:ind w:right="45"/>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rPr>
        <w:t>3 判定规则</w:t>
      </w:r>
    </w:p>
    <w:p>
      <w:pPr>
        <w:pStyle w:val="2"/>
        <w:widowControl/>
        <w:shd w:val="clear" w:color="auto" w:fill="FFFFFF"/>
        <w:spacing w:beforeAutospacing="0" w:afterAutospacing="0"/>
        <w:ind w:right="45"/>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3.1依据标准</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GB 31701-2015 婴幼儿及儿童纺织产品安全技术规范</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GB/T 29862-2013 纺织品 纤维含量的标识</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GB/T 33271-2016 机织婴幼儿服装</w:t>
      </w:r>
      <w:r>
        <w:rPr>
          <w:rFonts w:hint="eastAsia" w:ascii="仿宋_GB2312" w:hAnsi="仿宋_GB2312" w:eastAsia="仿宋_GB2312" w:cs="仿宋_GB2312"/>
          <w:color w:val="333333"/>
          <w:sz w:val="32"/>
          <w:szCs w:val="32"/>
          <w:shd w:val="clear" w:color="auto" w:fill="FFFFFF"/>
        </w:rPr>
        <w:br w:type="textWrapping"/>
      </w:r>
      <w:r>
        <w:rPr>
          <w:rFonts w:hint="eastAsia" w:ascii="仿宋_GB2312" w:hAnsi="仿宋_GB2312" w:eastAsia="仿宋_GB2312" w:cs="仿宋_GB2312"/>
          <w:color w:val="333333"/>
          <w:sz w:val="32"/>
          <w:szCs w:val="32"/>
          <w:shd w:val="clear" w:color="auto" w:fill="FFFFFF"/>
        </w:rPr>
        <w:t>FZ/T 73025-2013 婴幼儿针织服饰</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FZ/T 81014-2008 婴幼儿服装</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现行有效的企业标准、团体标准、地方标准及产品明示质量要求</w:t>
      </w:r>
    </w:p>
    <w:p>
      <w:pPr>
        <w:pStyle w:val="2"/>
        <w:widowControl/>
        <w:shd w:val="clear" w:color="auto" w:fill="FFFFFF"/>
        <w:spacing w:beforeAutospacing="0" w:afterAutospacing="0"/>
        <w:ind w:right="45"/>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3.2判定原则</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检验项目全部符合质量要求，表明未发现被抽查产品不合格；参与判定的检验项目中任一项或一项以上不符合质量要求，判定为被抽查产品不合格。</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若被检产品明示的质量要求高于本细则中检验项目依据的标准要求时，应按被检产品明示的质量要求判定。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若被检产品明示的质量要求低于本细则中检验项目依据的强制性标准要求时，应按照强制性标准要求判定。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若被检产品明示的质量要求低于或包含本细则中检验项目依据的推荐性标准要求时，应以被检产品明示的质量要求判定。</w:t>
      </w:r>
    </w:p>
    <w:p>
      <w:pPr>
        <w:pStyle w:val="2"/>
        <w:widowControl/>
        <w:shd w:val="clear" w:color="auto" w:fill="FFFFFF"/>
        <w:spacing w:beforeAutospacing="0" w:afterAutospacing="0"/>
        <w:ind w:right="45"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若被检产品明示的质量要求缺少本细则中检验项目依据的强制性标准要求时，应按照强制性标准要求判定。</w:t>
      </w:r>
    </w:p>
    <w:p>
      <w:pPr>
        <w:pStyle w:val="2"/>
        <w:widowControl/>
        <w:shd w:val="clear" w:color="auto" w:fill="FFFFFF"/>
        <w:spacing w:beforeAutospacing="0" w:afterAutospacing="0"/>
        <w:ind w:right="45" w:firstLine="640" w:firstLineChars="200"/>
      </w:pPr>
      <w:r>
        <w:rPr>
          <w:rFonts w:hint="eastAsia" w:ascii="仿宋_GB2312" w:hAnsi="仿宋_GB2312" w:eastAsia="仿宋_GB2312" w:cs="仿宋_GB2312"/>
          <w:color w:val="333333"/>
          <w:sz w:val="32"/>
          <w:szCs w:val="32"/>
          <w:shd w:val="clear" w:color="auto" w:fill="FFFFFF"/>
        </w:rPr>
        <w:t>若被检产品明示的质量要求缺少本细则中检验项目依据的推荐性标准要求时，该项目不参与判定</w:t>
      </w:r>
      <w:r>
        <w:rPr>
          <w:rFonts w:hint="eastAsia" w:ascii="仿宋_GB2312" w:hAnsi="仿宋_GB2312" w:eastAsia="仿宋_GB2312" w:cs="仿宋_GB2312"/>
          <w:color w:val="000000"/>
          <w:sz w:val="32"/>
          <w:szCs w:val="32"/>
          <w:shd w:val="clear" w:color="auto" w:fill="FFFFFF"/>
        </w:rPr>
        <w:t>，但应在检验报告备注中进行说明。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46841"/>
    <w:rsid w:val="27B2172B"/>
    <w:rsid w:val="33346841"/>
    <w:rsid w:val="560E2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2020-08-13T08:53:00Z</dcterms:created>
  <dc:creator>徐立君</dc:creator>
  <cp:lastModifiedBy>徐立君</cp:lastModifiedBy>
  <dcterms:modified xsi:type="dcterms:W3CDTF">2020-08-14T00:43:46Z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