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76"/>
          <w:tab w:val="center" w:pos="4213"/>
        </w:tabs>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黑龙江省</w:t>
      </w:r>
      <w:r>
        <w:rPr>
          <w:rFonts w:hint="eastAsia" w:asciiTheme="majorEastAsia" w:hAnsiTheme="majorEastAsia" w:eastAsiaTheme="majorEastAsia" w:cstheme="majorEastAsia"/>
          <w:b/>
          <w:bCs w:val="0"/>
          <w:color w:val="333333"/>
          <w:sz w:val="32"/>
          <w:szCs w:val="32"/>
          <w:shd w:val="clear" w:color="auto" w:fill="FFFFFF"/>
          <w:lang w:val="en-US" w:eastAsia="zh-CN"/>
        </w:rPr>
        <w:t>2020年</w:t>
      </w:r>
      <w:r>
        <w:rPr>
          <w:rFonts w:hint="eastAsia" w:ascii="黑体" w:hAnsi="黑体" w:eastAsia="黑体" w:cs="黑体"/>
          <w:sz w:val="32"/>
          <w:szCs w:val="32"/>
          <w:lang w:val="en-US" w:eastAsia="zh-CN"/>
        </w:rPr>
        <w:t>固定式通用灯具产品质量省级监督抽查实施细则</w:t>
      </w:r>
    </w:p>
    <w:p>
      <w:pPr>
        <w:adjustRightInd w:val="0"/>
        <w:snapToGrid w:val="0"/>
        <w:spacing w:line="594" w:lineRule="exact"/>
        <w:jc w:val="center"/>
        <w:rPr>
          <w:rFonts w:eastAsia="方正小标宋简体" w:cs="方正仿宋简体"/>
          <w:color w:val="000000"/>
          <w:sz w:val="32"/>
          <w:szCs w:val="32"/>
        </w:rPr>
      </w:pPr>
    </w:p>
    <w:p>
      <w:pPr>
        <w:pStyle w:val="2"/>
        <w:widowControl/>
        <w:shd w:val="clear" w:color="auto" w:fill="FFFFFF"/>
        <w:spacing w:beforeAutospacing="0" w:afterAutospacing="0"/>
        <w:ind w:right="45"/>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b/>
          <w:bCs/>
          <w:color w:val="000000"/>
          <w:sz w:val="32"/>
          <w:szCs w:val="32"/>
          <w:shd w:val="clear" w:color="auto" w:fill="FFFFFF"/>
        </w:rPr>
        <w:t>1 抽样方法</w:t>
      </w:r>
    </w:p>
    <w:p>
      <w:pPr>
        <w:pStyle w:val="2"/>
        <w:widowControl/>
        <w:shd w:val="clear" w:color="auto" w:fill="FFFFFF"/>
        <w:spacing w:beforeAutospacing="0" w:afterAutospacing="0"/>
        <w:ind w:right="45"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以随机抽样的方式在被抽样销售者的待销产品中抽取。</w:t>
      </w:r>
    </w:p>
    <w:p>
      <w:pPr>
        <w:pStyle w:val="2"/>
        <w:widowControl/>
        <w:shd w:val="clear" w:color="auto" w:fill="FFFFFF"/>
        <w:spacing w:beforeAutospacing="0" w:afterAutospacing="0"/>
        <w:ind w:right="45"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随机数一般可使用随机数表等方法产生。</w:t>
      </w:r>
    </w:p>
    <w:p>
      <w:pPr>
        <w:pStyle w:val="2"/>
        <w:widowControl/>
        <w:shd w:val="clear" w:color="auto" w:fill="FFFFFF"/>
        <w:spacing w:beforeAutospacing="0" w:afterAutospacing="0"/>
        <w:ind w:right="45"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每批次产品抽取样品</w:t>
      </w:r>
      <w:r>
        <w:rPr>
          <w:rFonts w:ascii="仿宋_GB2312" w:hAnsi="仿宋_GB2312" w:eastAsia="仿宋_GB2312" w:cs="仿宋_GB2312"/>
          <w:color w:val="000000"/>
          <w:sz w:val="32"/>
          <w:szCs w:val="32"/>
          <w:shd w:val="clear" w:color="auto" w:fill="FFFFFF"/>
        </w:rPr>
        <w:t>2</w:t>
      </w:r>
      <w:r>
        <w:rPr>
          <w:rFonts w:hint="eastAsia" w:ascii="仿宋_GB2312" w:hAnsi="仿宋_GB2312" w:eastAsia="仿宋_GB2312" w:cs="仿宋_GB2312"/>
          <w:color w:val="000000"/>
          <w:sz w:val="32"/>
          <w:szCs w:val="32"/>
          <w:shd w:val="clear" w:color="auto" w:fill="FFFFFF"/>
        </w:rPr>
        <w:t>台，其中</w:t>
      </w:r>
      <w:r>
        <w:rPr>
          <w:rFonts w:ascii="仿宋_GB2312" w:hAnsi="仿宋_GB2312" w:eastAsia="仿宋_GB2312" w:cs="仿宋_GB2312"/>
          <w:color w:val="000000"/>
          <w:sz w:val="32"/>
          <w:szCs w:val="32"/>
          <w:shd w:val="clear" w:color="auto" w:fill="FFFFFF"/>
        </w:rPr>
        <w:t>1</w:t>
      </w:r>
      <w:r>
        <w:rPr>
          <w:rFonts w:hint="eastAsia" w:ascii="仿宋_GB2312" w:hAnsi="仿宋_GB2312" w:eastAsia="仿宋_GB2312" w:cs="仿宋_GB2312"/>
          <w:color w:val="000000"/>
          <w:sz w:val="32"/>
          <w:szCs w:val="32"/>
          <w:shd w:val="clear" w:color="auto" w:fill="FFFFFF"/>
        </w:rPr>
        <w:t>台作为检验样品，1台作为备用样品。</w:t>
      </w:r>
    </w:p>
    <w:p>
      <w:pPr>
        <w:pStyle w:val="2"/>
        <w:widowControl/>
        <w:shd w:val="clear" w:color="auto" w:fill="FFFFFF"/>
        <w:spacing w:beforeAutospacing="0" w:afterAutospacing="0"/>
        <w:ind w:right="45" w:firstLine="640" w:firstLineChars="200"/>
        <w:rPr>
          <w:rFonts w:ascii="仿宋_GB2312" w:hAnsi="仿宋_GB2312" w:eastAsia="仿宋_GB2312" w:cs="仿宋_GB2312"/>
          <w:color w:val="000000"/>
          <w:sz w:val="32"/>
          <w:szCs w:val="32"/>
          <w:shd w:val="clear" w:color="auto" w:fill="FFFFFF"/>
        </w:rPr>
      </w:pPr>
    </w:p>
    <w:p>
      <w:pPr>
        <w:pStyle w:val="2"/>
        <w:widowControl/>
        <w:shd w:val="clear" w:color="auto" w:fill="FFFFFF"/>
        <w:spacing w:beforeAutospacing="0" w:afterAutospacing="0"/>
        <w:ind w:right="45"/>
        <w:rPr>
          <w:rFonts w:hint="eastAsia" w:ascii="仿宋_GB2312" w:hAnsi="仿宋_GB2312" w:eastAsia="仿宋_GB2312" w:cs="仿宋_GB2312"/>
          <w:b/>
          <w:bCs/>
          <w:color w:val="000000"/>
          <w:sz w:val="32"/>
          <w:szCs w:val="32"/>
          <w:shd w:val="clear" w:color="auto" w:fill="FFFFFF"/>
        </w:rPr>
      </w:pPr>
      <w:r>
        <w:rPr>
          <w:rFonts w:hint="eastAsia" w:ascii="仿宋_GB2312" w:hAnsi="仿宋_GB2312" w:eastAsia="仿宋_GB2312" w:cs="仿宋_GB2312"/>
          <w:b/>
          <w:bCs/>
          <w:color w:val="000000"/>
          <w:sz w:val="32"/>
          <w:szCs w:val="32"/>
          <w:shd w:val="clear" w:color="auto" w:fill="FFFFFF"/>
        </w:rPr>
        <w:t>2 检验依据</w:t>
      </w:r>
    </w:p>
    <w:p>
      <w:pPr>
        <w:pStyle w:val="2"/>
        <w:widowControl/>
        <w:shd w:val="clear" w:color="auto" w:fill="FFFFFF"/>
        <w:spacing w:beforeAutospacing="0" w:afterAutospacing="0"/>
        <w:ind w:right="45"/>
        <w:rPr>
          <w:rFonts w:hint="eastAsia" w:ascii="仿宋_GB2312" w:hAnsi="仿宋_GB2312" w:eastAsia="仿宋_GB2312" w:cs="仿宋_GB2312"/>
          <w:b/>
          <w:bCs/>
          <w:color w:val="000000"/>
          <w:sz w:val="32"/>
          <w:szCs w:val="32"/>
          <w:shd w:val="clear" w:color="auto" w:fill="FFFFFF"/>
        </w:rPr>
      </w:pPr>
    </w:p>
    <w:tbl>
      <w:tblPr>
        <w:tblStyle w:val="4"/>
        <w:tblW w:w="85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5438"/>
        <w:gridCol w:w="2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91" w:type="dxa"/>
            <w:vAlign w:val="center"/>
          </w:tcPr>
          <w:p>
            <w:pPr>
              <w:adjustRightInd w:val="0"/>
              <w:snapToGrid w:val="0"/>
              <w:spacing w:line="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序号</w:t>
            </w:r>
          </w:p>
        </w:tc>
        <w:tc>
          <w:tcPr>
            <w:tcW w:w="5438" w:type="dxa"/>
            <w:vAlign w:val="center"/>
          </w:tcPr>
          <w:p>
            <w:pPr>
              <w:adjustRightInd w:val="0"/>
              <w:snapToGrid w:val="0"/>
              <w:spacing w:line="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检验项目</w:t>
            </w:r>
          </w:p>
        </w:tc>
        <w:tc>
          <w:tcPr>
            <w:tcW w:w="2359" w:type="dxa"/>
            <w:vAlign w:val="center"/>
          </w:tcPr>
          <w:p>
            <w:pPr>
              <w:adjustRightInd w:val="0"/>
              <w:snapToGrid w:val="0"/>
              <w:spacing w:line="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91" w:type="dxa"/>
            <w:vAlign w:val="center"/>
          </w:tcPr>
          <w:p>
            <w:pPr>
              <w:pStyle w:val="5"/>
              <w:numPr>
                <w:ilvl w:val="0"/>
                <w:numId w:val="1"/>
              </w:numPr>
              <w:adjustRightInd w:val="0"/>
              <w:snapToGrid w:val="0"/>
              <w:spacing w:line="0" w:lineRule="atLeast"/>
              <w:ind w:firstLineChars="0"/>
              <w:jc w:val="right"/>
              <w:rPr>
                <w:rFonts w:ascii="仿宋_GB2312" w:hAnsi="仿宋_GB2312" w:eastAsia="仿宋_GB2312" w:cs="仿宋_GB2312"/>
                <w:sz w:val="28"/>
                <w:szCs w:val="28"/>
              </w:rPr>
            </w:pPr>
          </w:p>
        </w:tc>
        <w:tc>
          <w:tcPr>
            <w:tcW w:w="5438" w:type="dxa"/>
            <w:vAlign w:val="center"/>
          </w:tcPr>
          <w:p>
            <w:pPr>
              <w:adjustRightInd w:val="0"/>
              <w:snapToGrid w:val="0"/>
              <w:spacing w:line="0" w:lineRule="atLeas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标记</w:t>
            </w:r>
          </w:p>
        </w:tc>
        <w:tc>
          <w:tcPr>
            <w:tcW w:w="2359" w:type="dxa"/>
            <w:vAlign w:val="center"/>
          </w:tcPr>
          <w:p>
            <w:pPr>
              <w:adjustRightInd w:val="0"/>
              <w:snapToGrid w:val="0"/>
              <w:spacing w:line="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GB 7000.1-2015</w:t>
            </w:r>
          </w:p>
          <w:p>
            <w:pPr>
              <w:adjustRightInd w:val="0"/>
              <w:snapToGrid w:val="0"/>
              <w:spacing w:line="0" w:lineRule="atLeast"/>
              <w:jc w:val="center"/>
              <w:rPr>
                <w:rFonts w:ascii="仿宋_GB2312" w:hAnsi="仿宋_GB2312" w:eastAsia="仿宋_GB2312" w:cs="仿宋_GB2312"/>
                <w:sz w:val="28"/>
                <w:szCs w:val="28"/>
              </w:rPr>
            </w:pPr>
            <w:r>
              <w:rPr>
                <w:rFonts w:ascii="仿宋_GB2312" w:hAnsi="仿宋_GB2312" w:eastAsia="仿宋_GB2312" w:cs="仿宋_GB2312"/>
                <w:sz w:val="28"/>
                <w:szCs w:val="28"/>
              </w:rPr>
              <w:t>GB7000.201-2008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91" w:type="dxa"/>
            <w:vAlign w:val="center"/>
          </w:tcPr>
          <w:p>
            <w:pPr>
              <w:pStyle w:val="5"/>
              <w:numPr>
                <w:ilvl w:val="0"/>
                <w:numId w:val="1"/>
              </w:numPr>
              <w:adjustRightInd w:val="0"/>
              <w:snapToGrid w:val="0"/>
              <w:spacing w:line="0" w:lineRule="atLeast"/>
              <w:ind w:firstLineChars="0"/>
              <w:jc w:val="right"/>
              <w:rPr>
                <w:rFonts w:ascii="仿宋_GB2312" w:hAnsi="仿宋_GB2312" w:eastAsia="仿宋_GB2312" w:cs="仿宋_GB2312"/>
                <w:sz w:val="28"/>
                <w:szCs w:val="28"/>
              </w:rPr>
            </w:pPr>
          </w:p>
        </w:tc>
        <w:tc>
          <w:tcPr>
            <w:tcW w:w="5438" w:type="dxa"/>
            <w:vAlign w:val="center"/>
          </w:tcPr>
          <w:p>
            <w:pPr>
              <w:adjustRightInd w:val="0"/>
              <w:snapToGrid w:val="0"/>
              <w:spacing w:line="0" w:lineRule="atLeas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谐波电流限值</w:t>
            </w:r>
          </w:p>
        </w:tc>
        <w:tc>
          <w:tcPr>
            <w:tcW w:w="2359" w:type="dxa"/>
            <w:vAlign w:val="center"/>
          </w:tcPr>
          <w:p>
            <w:pPr>
              <w:adjustRightInd w:val="0"/>
              <w:snapToGrid w:val="0"/>
              <w:spacing w:line="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GB 17625.1-2012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91" w:type="dxa"/>
            <w:vAlign w:val="center"/>
          </w:tcPr>
          <w:p>
            <w:pPr>
              <w:pStyle w:val="5"/>
              <w:numPr>
                <w:ilvl w:val="0"/>
                <w:numId w:val="1"/>
              </w:numPr>
              <w:adjustRightInd w:val="0"/>
              <w:snapToGrid w:val="0"/>
              <w:spacing w:line="0" w:lineRule="atLeast"/>
              <w:ind w:firstLineChars="0"/>
              <w:jc w:val="right"/>
              <w:rPr>
                <w:rFonts w:ascii="仿宋_GB2312" w:hAnsi="仿宋_GB2312" w:eastAsia="仿宋_GB2312" w:cs="仿宋_GB2312"/>
                <w:sz w:val="28"/>
                <w:szCs w:val="28"/>
              </w:rPr>
            </w:pPr>
          </w:p>
        </w:tc>
        <w:tc>
          <w:tcPr>
            <w:tcW w:w="5438" w:type="dxa"/>
            <w:vAlign w:val="center"/>
          </w:tcPr>
          <w:p>
            <w:pPr>
              <w:adjustRightInd w:val="0"/>
              <w:snapToGrid w:val="0"/>
              <w:spacing w:line="0" w:lineRule="atLeas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结构</w:t>
            </w:r>
          </w:p>
        </w:tc>
        <w:tc>
          <w:tcPr>
            <w:tcW w:w="2359" w:type="dxa"/>
            <w:vAlign w:val="center"/>
          </w:tcPr>
          <w:p>
            <w:pPr>
              <w:adjustRightInd w:val="0"/>
              <w:snapToGrid w:val="0"/>
              <w:spacing w:line="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GB 7000.1-2015</w:t>
            </w:r>
          </w:p>
          <w:p>
            <w:pPr>
              <w:adjustRightInd w:val="0"/>
              <w:snapToGrid w:val="0"/>
              <w:spacing w:line="0" w:lineRule="atLeast"/>
              <w:jc w:val="center"/>
              <w:rPr>
                <w:rFonts w:ascii="仿宋_GB2312" w:hAnsi="仿宋_GB2312" w:eastAsia="仿宋_GB2312" w:cs="仿宋_GB2312"/>
                <w:sz w:val="28"/>
                <w:szCs w:val="28"/>
              </w:rPr>
            </w:pPr>
            <w:r>
              <w:rPr>
                <w:rFonts w:ascii="仿宋_GB2312" w:hAnsi="仿宋_GB2312" w:eastAsia="仿宋_GB2312" w:cs="仿宋_GB2312"/>
                <w:sz w:val="28"/>
                <w:szCs w:val="28"/>
              </w:rPr>
              <w:t>GB7000.201-2008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91" w:type="dxa"/>
            <w:vAlign w:val="center"/>
          </w:tcPr>
          <w:p>
            <w:pPr>
              <w:pStyle w:val="5"/>
              <w:numPr>
                <w:ilvl w:val="0"/>
                <w:numId w:val="1"/>
              </w:numPr>
              <w:adjustRightInd w:val="0"/>
              <w:snapToGrid w:val="0"/>
              <w:spacing w:line="0" w:lineRule="atLeast"/>
              <w:ind w:firstLineChars="0"/>
              <w:jc w:val="right"/>
              <w:rPr>
                <w:rFonts w:ascii="仿宋_GB2312" w:hAnsi="仿宋_GB2312" w:eastAsia="仿宋_GB2312" w:cs="仿宋_GB2312"/>
                <w:sz w:val="28"/>
                <w:szCs w:val="28"/>
              </w:rPr>
            </w:pPr>
          </w:p>
        </w:tc>
        <w:tc>
          <w:tcPr>
            <w:tcW w:w="5438" w:type="dxa"/>
            <w:vAlign w:val="center"/>
          </w:tcPr>
          <w:p>
            <w:pPr>
              <w:adjustRightInd w:val="0"/>
              <w:snapToGrid w:val="0"/>
              <w:spacing w:line="0" w:lineRule="atLeas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爬电距离和电气间隙</w:t>
            </w:r>
          </w:p>
        </w:tc>
        <w:tc>
          <w:tcPr>
            <w:tcW w:w="2359" w:type="dxa"/>
            <w:vAlign w:val="center"/>
          </w:tcPr>
          <w:p>
            <w:pPr>
              <w:adjustRightInd w:val="0"/>
              <w:snapToGrid w:val="0"/>
              <w:spacing w:line="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GB 7000.1-2015</w:t>
            </w:r>
          </w:p>
          <w:p>
            <w:pPr>
              <w:adjustRightInd w:val="0"/>
              <w:snapToGrid w:val="0"/>
              <w:spacing w:line="0" w:lineRule="atLeast"/>
              <w:jc w:val="center"/>
              <w:rPr>
                <w:rFonts w:ascii="仿宋_GB2312" w:hAnsi="仿宋_GB2312" w:eastAsia="仿宋_GB2312" w:cs="仿宋_GB2312"/>
                <w:sz w:val="28"/>
                <w:szCs w:val="28"/>
              </w:rPr>
            </w:pPr>
            <w:r>
              <w:rPr>
                <w:rFonts w:ascii="仿宋_GB2312" w:hAnsi="仿宋_GB2312" w:eastAsia="仿宋_GB2312" w:cs="仿宋_GB2312"/>
                <w:sz w:val="28"/>
                <w:szCs w:val="28"/>
              </w:rPr>
              <w:t>GB7000.201-2008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91" w:type="dxa"/>
            <w:vAlign w:val="center"/>
          </w:tcPr>
          <w:p>
            <w:pPr>
              <w:pStyle w:val="5"/>
              <w:numPr>
                <w:ilvl w:val="0"/>
                <w:numId w:val="1"/>
              </w:numPr>
              <w:adjustRightInd w:val="0"/>
              <w:snapToGrid w:val="0"/>
              <w:spacing w:line="0" w:lineRule="atLeast"/>
              <w:ind w:firstLineChars="0"/>
              <w:jc w:val="right"/>
              <w:rPr>
                <w:rFonts w:ascii="仿宋_GB2312" w:hAnsi="仿宋_GB2312" w:eastAsia="仿宋_GB2312" w:cs="仿宋_GB2312"/>
                <w:sz w:val="28"/>
                <w:szCs w:val="28"/>
              </w:rPr>
            </w:pPr>
          </w:p>
        </w:tc>
        <w:tc>
          <w:tcPr>
            <w:tcW w:w="5438" w:type="dxa"/>
            <w:vAlign w:val="center"/>
          </w:tcPr>
          <w:p>
            <w:pPr>
              <w:adjustRightInd w:val="0"/>
              <w:snapToGrid w:val="0"/>
              <w:spacing w:line="0" w:lineRule="atLeas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接地规定</w:t>
            </w:r>
          </w:p>
        </w:tc>
        <w:tc>
          <w:tcPr>
            <w:tcW w:w="2359" w:type="dxa"/>
            <w:vAlign w:val="center"/>
          </w:tcPr>
          <w:p>
            <w:pPr>
              <w:adjustRightInd w:val="0"/>
              <w:snapToGrid w:val="0"/>
              <w:spacing w:line="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GB 7000.1-2015</w:t>
            </w:r>
          </w:p>
          <w:p>
            <w:pPr>
              <w:adjustRightInd w:val="0"/>
              <w:snapToGrid w:val="0"/>
              <w:spacing w:line="0" w:lineRule="atLeast"/>
              <w:jc w:val="center"/>
              <w:rPr>
                <w:rFonts w:ascii="仿宋_GB2312" w:hAnsi="仿宋_GB2312" w:eastAsia="仿宋_GB2312" w:cs="仿宋_GB2312"/>
                <w:sz w:val="28"/>
                <w:szCs w:val="28"/>
              </w:rPr>
            </w:pPr>
            <w:r>
              <w:rPr>
                <w:rFonts w:ascii="仿宋_GB2312" w:hAnsi="仿宋_GB2312" w:eastAsia="仿宋_GB2312" w:cs="仿宋_GB2312"/>
                <w:sz w:val="28"/>
                <w:szCs w:val="28"/>
              </w:rPr>
              <w:t>GB7000.201-2008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91" w:type="dxa"/>
            <w:vAlign w:val="center"/>
          </w:tcPr>
          <w:p>
            <w:pPr>
              <w:pStyle w:val="5"/>
              <w:numPr>
                <w:ilvl w:val="0"/>
                <w:numId w:val="1"/>
              </w:numPr>
              <w:adjustRightInd w:val="0"/>
              <w:snapToGrid w:val="0"/>
              <w:spacing w:line="0" w:lineRule="atLeast"/>
              <w:ind w:firstLineChars="0"/>
              <w:jc w:val="right"/>
              <w:rPr>
                <w:rFonts w:ascii="仿宋_GB2312" w:hAnsi="仿宋_GB2312" w:eastAsia="仿宋_GB2312" w:cs="仿宋_GB2312"/>
                <w:sz w:val="28"/>
                <w:szCs w:val="28"/>
              </w:rPr>
            </w:pPr>
          </w:p>
        </w:tc>
        <w:tc>
          <w:tcPr>
            <w:tcW w:w="5438" w:type="dxa"/>
            <w:vAlign w:val="center"/>
          </w:tcPr>
          <w:p>
            <w:pPr>
              <w:adjustRightInd w:val="0"/>
              <w:snapToGrid w:val="0"/>
              <w:spacing w:line="0" w:lineRule="atLeas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外部接线和内部接线</w:t>
            </w:r>
          </w:p>
        </w:tc>
        <w:tc>
          <w:tcPr>
            <w:tcW w:w="2359" w:type="dxa"/>
            <w:vAlign w:val="center"/>
          </w:tcPr>
          <w:p>
            <w:pPr>
              <w:adjustRightInd w:val="0"/>
              <w:snapToGrid w:val="0"/>
              <w:spacing w:line="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GB 7000.1-2015</w:t>
            </w:r>
          </w:p>
          <w:p>
            <w:pPr>
              <w:adjustRightInd w:val="0"/>
              <w:snapToGrid w:val="0"/>
              <w:spacing w:line="0" w:lineRule="atLeast"/>
              <w:jc w:val="center"/>
              <w:rPr>
                <w:rFonts w:ascii="仿宋_GB2312" w:hAnsi="仿宋_GB2312" w:eastAsia="仿宋_GB2312" w:cs="仿宋_GB2312"/>
                <w:sz w:val="28"/>
                <w:szCs w:val="28"/>
              </w:rPr>
            </w:pPr>
            <w:r>
              <w:rPr>
                <w:rFonts w:ascii="仿宋_GB2312" w:hAnsi="仿宋_GB2312" w:eastAsia="仿宋_GB2312" w:cs="仿宋_GB2312"/>
                <w:sz w:val="28"/>
                <w:szCs w:val="28"/>
              </w:rPr>
              <w:t>GB7000.201-2008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91" w:type="dxa"/>
            <w:vAlign w:val="center"/>
          </w:tcPr>
          <w:p>
            <w:pPr>
              <w:pStyle w:val="5"/>
              <w:numPr>
                <w:ilvl w:val="0"/>
                <w:numId w:val="1"/>
              </w:numPr>
              <w:adjustRightInd w:val="0"/>
              <w:snapToGrid w:val="0"/>
              <w:spacing w:line="0" w:lineRule="atLeast"/>
              <w:ind w:firstLineChars="0"/>
              <w:jc w:val="right"/>
              <w:rPr>
                <w:rFonts w:ascii="仿宋_GB2312" w:hAnsi="仿宋_GB2312" w:eastAsia="仿宋_GB2312" w:cs="仿宋_GB2312"/>
                <w:sz w:val="28"/>
                <w:szCs w:val="28"/>
              </w:rPr>
            </w:pPr>
          </w:p>
        </w:tc>
        <w:tc>
          <w:tcPr>
            <w:tcW w:w="5438" w:type="dxa"/>
            <w:vAlign w:val="center"/>
          </w:tcPr>
          <w:p>
            <w:pPr>
              <w:adjustRightInd w:val="0"/>
              <w:snapToGrid w:val="0"/>
              <w:spacing w:line="0" w:lineRule="atLeas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防触电保护</w:t>
            </w:r>
          </w:p>
        </w:tc>
        <w:tc>
          <w:tcPr>
            <w:tcW w:w="2359" w:type="dxa"/>
            <w:vAlign w:val="center"/>
          </w:tcPr>
          <w:p>
            <w:pPr>
              <w:adjustRightInd w:val="0"/>
              <w:snapToGrid w:val="0"/>
              <w:spacing w:line="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GB 7000.1-2015</w:t>
            </w:r>
          </w:p>
          <w:p>
            <w:pPr>
              <w:adjustRightInd w:val="0"/>
              <w:snapToGrid w:val="0"/>
              <w:spacing w:line="0" w:lineRule="atLeast"/>
              <w:jc w:val="center"/>
              <w:rPr>
                <w:rFonts w:ascii="仿宋_GB2312" w:hAnsi="仿宋_GB2312" w:eastAsia="仿宋_GB2312" w:cs="仿宋_GB2312"/>
                <w:sz w:val="28"/>
                <w:szCs w:val="28"/>
              </w:rPr>
            </w:pPr>
            <w:r>
              <w:rPr>
                <w:rFonts w:ascii="仿宋_GB2312" w:hAnsi="仿宋_GB2312" w:eastAsia="仿宋_GB2312" w:cs="仿宋_GB2312"/>
                <w:sz w:val="28"/>
                <w:szCs w:val="28"/>
              </w:rPr>
              <w:t>GB7000.201-2008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91" w:type="dxa"/>
            <w:vAlign w:val="center"/>
          </w:tcPr>
          <w:p>
            <w:pPr>
              <w:pStyle w:val="5"/>
              <w:numPr>
                <w:ilvl w:val="0"/>
                <w:numId w:val="1"/>
              </w:numPr>
              <w:adjustRightInd w:val="0"/>
              <w:snapToGrid w:val="0"/>
              <w:spacing w:line="0" w:lineRule="atLeast"/>
              <w:ind w:firstLineChars="0"/>
              <w:jc w:val="right"/>
              <w:rPr>
                <w:rFonts w:ascii="仿宋_GB2312" w:hAnsi="仿宋_GB2312" w:eastAsia="仿宋_GB2312" w:cs="仿宋_GB2312"/>
                <w:sz w:val="28"/>
                <w:szCs w:val="28"/>
              </w:rPr>
            </w:pPr>
          </w:p>
        </w:tc>
        <w:tc>
          <w:tcPr>
            <w:tcW w:w="5438" w:type="dxa"/>
            <w:vAlign w:val="center"/>
          </w:tcPr>
          <w:p>
            <w:pPr>
              <w:adjustRightInd w:val="0"/>
              <w:snapToGrid w:val="0"/>
              <w:spacing w:line="0" w:lineRule="atLeas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防尘、防固体异物和防水</w:t>
            </w:r>
          </w:p>
        </w:tc>
        <w:tc>
          <w:tcPr>
            <w:tcW w:w="2359" w:type="dxa"/>
            <w:vAlign w:val="center"/>
          </w:tcPr>
          <w:p>
            <w:pPr>
              <w:adjustRightInd w:val="0"/>
              <w:snapToGrid w:val="0"/>
              <w:spacing w:line="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GB 7000.1-2015</w:t>
            </w:r>
          </w:p>
          <w:p>
            <w:pPr>
              <w:adjustRightInd w:val="0"/>
              <w:snapToGrid w:val="0"/>
              <w:spacing w:line="0" w:lineRule="atLeast"/>
              <w:jc w:val="center"/>
              <w:rPr>
                <w:rFonts w:ascii="仿宋_GB2312" w:hAnsi="仿宋_GB2312" w:eastAsia="仿宋_GB2312" w:cs="仿宋_GB2312"/>
                <w:sz w:val="28"/>
                <w:szCs w:val="28"/>
              </w:rPr>
            </w:pPr>
            <w:r>
              <w:rPr>
                <w:rFonts w:ascii="仿宋_GB2312" w:hAnsi="仿宋_GB2312" w:eastAsia="仿宋_GB2312" w:cs="仿宋_GB2312"/>
                <w:sz w:val="28"/>
                <w:szCs w:val="28"/>
              </w:rPr>
              <w:t>GB7000.201-2008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91" w:type="dxa"/>
            <w:vAlign w:val="center"/>
          </w:tcPr>
          <w:p>
            <w:pPr>
              <w:pStyle w:val="5"/>
              <w:numPr>
                <w:ilvl w:val="0"/>
                <w:numId w:val="1"/>
              </w:numPr>
              <w:adjustRightInd w:val="0"/>
              <w:snapToGrid w:val="0"/>
              <w:spacing w:line="0" w:lineRule="atLeast"/>
              <w:ind w:firstLineChars="0"/>
              <w:jc w:val="right"/>
              <w:rPr>
                <w:rFonts w:ascii="仿宋_GB2312" w:hAnsi="仿宋_GB2312" w:eastAsia="仿宋_GB2312" w:cs="仿宋_GB2312"/>
                <w:sz w:val="28"/>
                <w:szCs w:val="28"/>
              </w:rPr>
            </w:pPr>
          </w:p>
        </w:tc>
        <w:tc>
          <w:tcPr>
            <w:tcW w:w="5438" w:type="dxa"/>
            <w:vAlign w:val="center"/>
          </w:tcPr>
          <w:p>
            <w:pPr>
              <w:adjustRightInd w:val="0"/>
              <w:snapToGrid w:val="0"/>
              <w:spacing w:line="0" w:lineRule="atLeas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绝缘电阻和电气强度</w:t>
            </w:r>
          </w:p>
        </w:tc>
        <w:tc>
          <w:tcPr>
            <w:tcW w:w="2359" w:type="dxa"/>
            <w:vAlign w:val="center"/>
          </w:tcPr>
          <w:p>
            <w:pPr>
              <w:adjustRightInd w:val="0"/>
              <w:snapToGrid w:val="0"/>
              <w:spacing w:line="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GB 7000.1-2015</w:t>
            </w:r>
          </w:p>
          <w:p>
            <w:pPr>
              <w:adjustRightInd w:val="0"/>
              <w:snapToGrid w:val="0"/>
              <w:spacing w:line="0" w:lineRule="atLeast"/>
              <w:jc w:val="center"/>
              <w:rPr>
                <w:rFonts w:ascii="仿宋_GB2312" w:hAnsi="仿宋_GB2312" w:eastAsia="仿宋_GB2312" w:cs="仿宋_GB2312"/>
                <w:sz w:val="28"/>
                <w:szCs w:val="28"/>
              </w:rPr>
            </w:pPr>
            <w:r>
              <w:rPr>
                <w:rFonts w:ascii="仿宋_GB2312" w:hAnsi="仿宋_GB2312" w:eastAsia="仿宋_GB2312" w:cs="仿宋_GB2312"/>
                <w:sz w:val="28"/>
                <w:szCs w:val="28"/>
              </w:rPr>
              <w:t>GB7000.201-2008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91" w:type="dxa"/>
            <w:vAlign w:val="center"/>
          </w:tcPr>
          <w:p>
            <w:pPr>
              <w:pStyle w:val="5"/>
              <w:numPr>
                <w:ilvl w:val="0"/>
                <w:numId w:val="1"/>
              </w:numPr>
              <w:adjustRightInd w:val="0"/>
              <w:snapToGrid w:val="0"/>
              <w:spacing w:line="0" w:lineRule="atLeast"/>
              <w:ind w:firstLineChars="0"/>
              <w:jc w:val="right"/>
              <w:rPr>
                <w:rFonts w:ascii="仿宋_GB2312" w:hAnsi="仿宋_GB2312" w:eastAsia="仿宋_GB2312" w:cs="仿宋_GB2312"/>
                <w:sz w:val="28"/>
                <w:szCs w:val="28"/>
              </w:rPr>
            </w:pPr>
          </w:p>
        </w:tc>
        <w:tc>
          <w:tcPr>
            <w:tcW w:w="5438" w:type="dxa"/>
            <w:vAlign w:val="center"/>
          </w:tcPr>
          <w:p>
            <w:pPr>
              <w:adjustRightInd w:val="0"/>
              <w:snapToGrid w:val="0"/>
              <w:spacing w:line="0" w:lineRule="atLeas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耐热、耐火</w:t>
            </w:r>
          </w:p>
        </w:tc>
        <w:tc>
          <w:tcPr>
            <w:tcW w:w="2359" w:type="dxa"/>
            <w:vAlign w:val="center"/>
          </w:tcPr>
          <w:p>
            <w:pPr>
              <w:adjustRightInd w:val="0"/>
              <w:snapToGrid w:val="0"/>
              <w:spacing w:line="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GB 7000.1-2015</w:t>
            </w:r>
          </w:p>
          <w:p>
            <w:pPr>
              <w:adjustRightInd w:val="0"/>
              <w:snapToGrid w:val="0"/>
              <w:spacing w:line="0" w:lineRule="atLeast"/>
              <w:jc w:val="center"/>
              <w:rPr>
                <w:rFonts w:ascii="仿宋_GB2312" w:hAnsi="仿宋_GB2312" w:eastAsia="仿宋_GB2312" w:cs="仿宋_GB2312"/>
                <w:sz w:val="28"/>
                <w:szCs w:val="28"/>
              </w:rPr>
            </w:pPr>
            <w:r>
              <w:rPr>
                <w:rFonts w:ascii="仿宋_GB2312" w:hAnsi="仿宋_GB2312" w:eastAsia="仿宋_GB2312" w:cs="仿宋_GB2312"/>
                <w:sz w:val="28"/>
                <w:szCs w:val="28"/>
              </w:rPr>
              <w:t>GB7000.201-2008</w:t>
            </w:r>
          </w:p>
        </w:tc>
      </w:tr>
    </w:tbl>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rPr>
      </w:pPr>
    </w:p>
    <w:p>
      <w:pPr>
        <w:pStyle w:val="2"/>
        <w:widowControl/>
        <w:shd w:val="clear" w:color="auto" w:fill="FFFFFF"/>
        <w:spacing w:beforeAutospacing="0" w:afterAutospacing="0"/>
        <w:ind w:right="45" w:firstLine="640" w:firstLineChars="200"/>
        <w:rPr>
          <w:rFonts w:ascii="仿宋_GB2312" w:hAnsi="仿宋_GB2312" w:eastAsia="仿宋_GB2312" w:cs="仿宋_GB2312"/>
          <w:color w:val="000000"/>
          <w:sz w:val="32"/>
          <w:szCs w:val="32"/>
          <w:shd w:val="clear" w:color="auto" w:fill="FFFFFF"/>
        </w:rPr>
      </w:pPr>
      <w:bookmarkStart w:id="0" w:name="_GoBack"/>
      <w:bookmarkEnd w:id="0"/>
      <w:r>
        <w:rPr>
          <w:rFonts w:hint="eastAsia" w:ascii="仿宋_GB2312" w:hAnsi="仿宋_GB2312" w:eastAsia="仿宋_GB2312" w:cs="仿宋_GB2312"/>
          <w:color w:val="000000"/>
          <w:sz w:val="32"/>
          <w:szCs w:val="32"/>
          <w:shd w:val="clear" w:color="auto" w:fill="FFFFFF"/>
        </w:rPr>
        <w:t>执行企业标准、团体标准、地方标准的产品，检验项目参照上述内容执行。</w:t>
      </w:r>
    </w:p>
    <w:p>
      <w:pPr>
        <w:pStyle w:val="2"/>
        <w:widowControl/>
        <w:shd w:val="clear" w:color="auto" w:fill="FFFFFF"/>
        <w:spacing w:beforeAutospacing="0" w:afterAutospacing="0"/>
        <w:ind w:right="45"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凡是注日期的文件，其随后所有的修改单（不包括勘误的内容）或修订版不适用于本细则。凡是不注日期的文件，其最新版本适用于本细则。</w:t>
      </w:r>
    </w:p>
    <w:p>
      <w:pPr>
        <w:pStyle w:val="2"/>
        <w:widowControl/>
        <w:shd w:val="clear" w:color="auto" w:fill="FFFFFF"/>
        <w:spacing w:beforeAutospacing="0" w:afterAutospacing="0"/>
        <w:ind w:right="45" w:firstLine="640" w:firstLineChars="200"/>
        <w:rPr>
          <w:rFonts w:ascii="仿宋_GB2312" w:hAnsi="仿宋_GB2312" w:eastAsia="仿宋_GB2312" w:cs="仿宋_GB2312"/>
          <w:color w:val="000000"/>
          <w:sz w:val="32"/>
          <w:szCs w:val="32"/>
          <w:shd w:val="clear" w:color="auto" w:fill="FFFFFF"/>
        </w:rPr>
      </w:pPr>
    </w:p>
    <w:p>
      <w:pPr>
        <w:pStyle w:val="2"/>
        <w:widowControl/>
        <w:shd w:val="clear" w:color="auto" w:fill="FFFFFF"/>
        <w:spacing w:beforeAutospacing="0" w:afterAutospacing="0"/>
        <w:ind w:right="45"/>
        <w:rPr>
          <w:rFonts w:ascii="仿宋_GB2312" w:hAnsi="仿宋_GB2312" w:eastAsia="仿宋_GB2312" w:cs="仿宋_GB2312"/>
          <w:b/>
          <w:bCs/>
          <w:color w:val="000000"/>
          <w:sz w:val="32"/>
          <w:szCs w:val="32"/>
          <w:shd w:val="clear" w:color="auto" w:fill="FFFFFF"/>
        </w:rPr>
      </w:pPr>
      <w:r>
        <w:rPr>
          <w:rFonts w:hint="eastAsia" w:ascii="仿宋_GB2312" w:hAnsi="仿宋_GB2312" w:eastAsia="仿宋_GB2312" w:cs="仿宋_GB2312"/>
          <w:b/>
          <w:bCs/>
          <w:color w:val="000000"/>
          <w:sz w:val="32"/>
          <w:szCs w:val="32"/>
          <w:shd w:val="clear" w:color="auto" w:fill="FFFFFF"/>
        </w:rPr>
        <w:t>3 判定规则</w:t>
      </w:r>
    </w:p>
    <w:p>
      <w:pPr>
        <w:pStyle w:val="2"/>
        <w:widowControl/>
        <w:shd w:val="clear" w:color="auto" w:fill="FFFFFF"/>
        <w:spacing w:beforeAutospacing="0" w:afterAutospacing="0"/>
        <w:ind w:right="45"/>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3.1依据标准</w:t>
      </w:r>
    </w:p>
    <w:p>
      <w:pPr>
        <w:pStyle w:val="2"/>
        <w:widowControl/>
        <w:shd w:val="clear" w:color="auto" w:fill="FFFFFF"/>
        <w:spacing w:beforeAutospacing="0" w:afterAutospacing="0"/>
        <w:ind w:right="45"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GB 7000.1-2015 灯具 第1部分：一般要求与试验</w:t>
      </w:r>
    </w:p>
    <w:p>
      <w:pPr>
        <w:pStyle w:val="2"/>
        <w:widowControl/>
        <w:shd w:val="clear" w:color="auto" w:fill="FFFFFF"/>
        <w:spacing w:beforeAutospacing="0" w:afterAutospacing="0"/>
        <w:ind w:right="45"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GB 7000.201-2008 灯具 第2-1部分：特殊要求固定式通用灯具</w:t>
      </w:r>
    </w:p>
    <w:p>
      <w:pPr>
        <w:pStyle w:val="2"/>
        <w:widowControl/>
        <w:shd w:val="clear" w:color="auto" w:fill="FFFFFF"/>
        <w:spacing w:beforeAutospacing="0" w:afterAutospacing="0"/>
        <w:ind w:right="45"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GB 17625.1-2012 电磁兼容 限值 谐波电流发射限值（设备每相输入电流≤16A）</w:t>
      </w:r>
    </w:p>
    <w:p>
      <w:pPr>
        <w:pStyle w:val="2"/>
        <w:widowControl/>
        <w:shd w:val="clear" w:color="auto" w:fill="FFFFFF"/>
        <w:spacing w:beforeAutospacing="0" w:afterAutospacing="0"/>
        <w:ind w:right="45"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现行有效的企业标准、团体标准、地方标准及产品明示质量要求</w:t>
      </w:r>
    </w:p>
    <w:p>
      <w:pPr>
        <w:pStyle w:val="2"/>
        <w:widowControl/>
        <w:shd w:val="clear" w:color="auto" w:fill="FFFFFF"/>
        <w:spacing w:beforeAutospacing="0" w:afterAutospacing="0"/>
        <w:ind w:right="45"/>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3.2判定原则</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eastAsia="zh-CN"/>
        </w:rPr>
        <w:t>根据</w:t>
      </w:r>
      <w:r>
        <w:rPr>
          <w:rFonts w:hint="eastAsia" w:ascii="仿宋_GB2312" w:hAnsi="仿宋_GB2312" w:eastAsia="仿宋_GB2312" w:cs="仿宋_GB2312"/>
          <w:color w:val="000000"/>
          <w:sz w:val="32"/>
          <w:szCs w:val="32"/>
          <w:shd w:val="clear" w:color="auto" w:fill="FFFFFF"/>
        </w:rPr>
        <w:t>GB 7000.1-2015</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GB 7000.201-2008</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GB 17625.1-2012</w:t>
      </w:r>
      <w:r>
        <w:rPr>
          <w:rFonts w:hint="eastAsia" w:ascii="仿宋_GB2312" w:hAnsi="仿宋_GB2312" w:eastAsia="仿宋_GB2312" w:cs="仿宋_GB2312"/>
          <w:color w:val="000000"/>
          <w:sz w:val="32"/>
          <w:szCs w:val="32"/>
          <w:shd w:val="clear" w:color="auto" w:fill="FFFFFF"/>
          <w:lang w:val="en-US" w:eastAsia="zh-CN"/>
        </w:rPr>
        <w:t>判定。</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检验项目全部符合质量要求，表明未发现被抽查产品不合格；参与判定的检验项目中任一项或一项以上不符合质量要求，判定为被抽查产品不合格。</w:t>
      </w:r>
    </w:p>
    <w:p>
      <w:pPr>
        <w:pStyle w:val="2"/>
        <w:widowControl/>
        <w:shd w:val="clear" w:color="auto" w:fill="FFFFFF"/>
        <w:spacing w:beforeAutospacing="0" w:afterAutospacing="0"/>
        <w:ind w:right="45"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若被检产品明示的质量要求高于本细则中检验项目依据的标准要求时，应按被检产品明示的质量要求判定。</w:t>
      </w:r>
    </w:p>
    <w:p>
      <w:pPr>
        <w:pStyle w:val="2"/>
        <w:widowControl/>
        <w:shd w:val="clear" w:color="auto" w:fill="FFFFFF"/>
        <w:spacing w:beforeAutospacing="0" w:afterAutospacing="0"/>
        <w:ind w:right="45"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若被检产品明示的质量要求低于本细则中检验项目依据的强制性标准要求时，应按照强制性标准要求判定。</w:t>
      </w:r>
    </w:p>
    <w:p>
      <w:pPr>
        <w:pStyle w:val="2"/>
        <w:widowControl/>
        <w:shd w:val="clear" w:color="auto" w:fill="FFFFFF"/>
        <w:spacing w:beforeAutospacing="0" w:afterAutospacing="0"/>
        <w:ind w:right="45"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若被检产品明示的质量要求低于或包含本细则中检验项目依据的推荐性标准要求时，应以被检产品明示的质量要求判定。</w:t>
      </w:r>
    </w:p>
    <w:p>
      <w:pPr>
        <w:pStyle w:val="2"/>
        <w:widowControl/>
        <w:shd w:val="clear" w:color="auto" w:fill="FFFFFF"/>
        <w:spacing w:beforeAutospacing="0" w:afterAutospacing="0"/>
        <w:ind w:right="45"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若被检产品明示的质量要求缺少本细则中检验项目依据的强制性标准要求时，应按照强制性标准要求判定。</w:t>
      </w:r>
    </w:p>
    <w:p>
      <w:pPr>
        <w:pStyle w:val="2"/>
        <w:widowControl/>
        <w:shd w:val="clear" w:color="auto" w:fill="FFFFFF"/>
        <w:spacing w:beforeAutospacing="0" w:afterAutospacing="0"/>
        <w:ind w:right="45"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若被检产品明示的质量要求缺少本细则中检验项目依据的推荐性标准要求时，该项目不参与判定，但应在检验报告备注中进行说明。</w:t>
      </w:r>
    </w:p>
    <w:p>
      <w:pPr>
        <w:jc w:val="left"/>
        <w:rPr>
          <w:rFonts w:hint="eastAsia" w:ascii="黑体" w:hAnsi="黑体" w:eastAsia="黑体" w:cs="黑体"/>
          <w:sz w:val="32"/>
          <w:szCs w:val="32"/>
          <w:lang w:val="en-US" w:eastAsia="zh-CN"/>
        </w:rPr>
      </w:pPr>
    </w:p>
    <w:p>
      <w:pPr>
        <w:jc w:val="left"/>
        <w:rPr>
          <w:rFonts w:hint="eastAsia" w:ascii="黑体" w:hAnsi="黑体" w:eastAsia="黑体" w:cs="黑体"/>
          <w:sz w:val="32"/>
          <w:szCs w:val="32"/>
          <w:lang w:val="en-US" w:eastAsia="zh-CN"/>
        </w:rPr>
      </w:pPr>
    </w:p>
    <w:p>
      <w:pPr>
        <w:jc w:val="left"/>
        <w:rPr>
          <w:rFonts w:hint="eastAsia" w:ascii="黑体" w:hAnsi="黑体" w:eastAsia="黑体" w:cs="黑体"/>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简体">
    <w:altName w:val="微软雅黑"/>
    <w:panose1 w:val="00000000000000000000"/>
    <w:charset w:val="86"/>
    <w:family w:val="auto"/>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4A349B"/>
    <w:multiLevelType w:val="multilevel"/>
    <w:tmpl w:val="434A349B"/>
    <w:lvl w:ilvl="0" w:tentative="0">
      <w:start w:val="1"/>
      <w:numFmt w:val="decimal"/>
      <w:lvlText w:val="%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0B4338"/>
    <w:rsid w:val="140B4338"/>
    <w:rsid w:val="589E76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paragraph" w:styleId="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2020-08-13T08:39:00Z</dcterms:created>
  <dc:creator>徐立君</dc:creator>
  <cp:lastModifiedBy>徐立君</cp:lastModifiedBy>
  <dcterms:modified xsi:type="dcterms:W3CDTF">2020-08-14T00:32:45Z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