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both"/>
        <w:rPr>
          <w:rFonts w:hint="eastAsia" w:cs="方正小标宋简体" w:asciiTheme="minorEastAsia" w:hAnsiTheme="minorEastAsia"/>
          <w:b/>
          <w:color w:val="333333"/>
          <w:sz w:val="32"/>
          <w:szCs w:val="32"/>
          <w:shd w:val="clear" w:color="auto" w:fill="FFFFFF"/>
          <w:lang w:val="en-US" w:eastAsia="zh-CN"/>
        </w:rPr>
      </w:pPr>
      <w:r>
        <w:rPr>
          <w:rFonts w:hint="eastAsia" w:cs="方正小标宋简体" w:asciiTheme="minorEastAsia" w:hAnsiTheme="minorEastAsia"/>
          <w:b/>
          <w:color w:val="333333"/>
          <w:sz w:val="32"/>
          <w:szCs w:val="32"/>
          <w:shd w:val="clear" w:color="auto" w:fill="FFFFFF"/>
          <w:lang w:val="en-US" w:eastAsia="zh-CN"/>
        </w:rPr>
        <w:t>黑龙江省</w:t>
      </w:r>
      <w:r>
        <w:rPr>
          <w:rFonts w:hint="eastAsia" w:asciiTheme="majorEastAsia" w:hAnsiTheme="majorEastAsia" w:eastAsiaTheme="majorEastAsia" w:cstheme="majorEastAsia"/>
          <w:b/>
          <w:bCs w:val="0"/>
          <w:color w:val="333333"/>
          <w:sz w:val="32"/>
          <w:szCs w:val="32"/>
          <w:shd w:val="clear" w:color="auto" w:fill="FFFFFF"/>
          <w:lang w:val="en-US" w:eastAsia="zh-CN"/>
        </w:rPr>
        <w:t>2020年</w:t>
      </w:r>
      <w:r>
        <w:rPr>
          <w:rFonts w:hint="eastAsia" w:cs="方正小标宋简体" w:asciiTheme="minorEastAsia" w:hAnsiTheme="minorEastAsia"/>
          <w:b/>
          <w:color w:val="333333"/>
          <w:sz w:val="32"/>
          <w:szCs w:val="32"/>
          <w:shd w:val="clear" w:color="auto" w:fill="FFFFFF"/>
          <w:lang w:val="en-US" w:eastAsia="zh-CN"/>
        </w:rPr>
        <w:t>羽绒服装产品质量省级监督抽查实施细则</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p>
    <w:p>
      <w:pPr>
        <w:pStyle w:val="2"/>
        <w:widowControl/>
        <w:spacing w:beforeAutospacing="0" w:afterAutospacing="0"/>
        <w:jc w:val="both"/>
        <w:rPr>
          <w:rFonts w:hint="eastAsia" w:ascii="仿宋_GB2312" w:hAnsi="仿宋_GB2312" w:eastAsia="仿宋_GB2312" w:cs="仿宋_GB2312"/>
          <w:b/>
          <w:bCs/>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val="en-US" w:eastAsia="zh-CN"/>
        </w:rPr>
        <w:t>1 抽样方法</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以随机抽样的方式在被抽样生产者、销售者的待销产品中抽取。</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随机数一般可使用随机数表等方法产生。</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单件（条、套）充绒量&gt;100g的，每批次产品抽取样品2件（条、套），其中1件（条、套）作为检验样品，1件（条、套）作为备用样品；单件（条、套）充绒量≤100g的，每批次产品抽取样品4件（条、套），其中2件（条、套）作为检验样品，2件（条、套）作为备用样品。</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在流通领域（市场）抽样的，抽样基数满足抽样数量即可。</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注：如样品面积过小，可适当增加抽样数量，不得超过检验、复检的合理需要。</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p>
    <w:p>
      <w:pPr>
        <w:pStyle w:val="2"/>
        <w:widowControl/>
        <w:spacing w:beforeAutospacing="0" w:afterAutospacing="0"/>
        <w:jc w:val="both"/>
        <w:rPr>
          <w:rFonts w:hint="eastAsia" w:ascii="仿宋_GB2312" w:hAnsi="仿宋_GB2312" w:eastAsia="仿宋_GB2312" w:cs="仿宋_GB2312"/>
          <w:b/>
          <w:bCs/>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val="en-US" w:eastAsia="zh-CN"/>
        </w:rPr>
        <w:t>2 检验依据</w:t>
      </w:r>
    </w:p>
    <w:p>
      <w:pPr>
        <w:adjustRightInd w:val="0"/>
        <w:snapToGrid w:val="0"/>
        <w:rPr>
          <w:rFonts w:hint="eastAsia" w:ascii="Times New Roman" w:hAnsi="Times New Roman" w:eastAsia="黑体"/>
          <w:color w:val="000000"/>
          <w:szCs w:val="21"/>
        </w:rPr>
      </w:pPr>
    </w:p>
    <w:tbl>
      <w:tblPr>
        <w:tblStyle w:val="4"/>
        <w:tblW w:w="85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3970"/>
        <w:gridCol w:w="3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14" w:type="dxa"/>
            <w:vAlign w:val="center"/>
          </w:tcPr>
          <w:p>
            <w:pPr>
              <w:adjustRightInd w:val="0"/>
              <w:snapToGrid w:val="0"/>
              <w:spacing w:line="440" w:lineRule="exact"/>
              <w:jc w:val="center"/>
              <w:rPr>
                <w:rFonts w:hint="eastAsia" w:ascii="Times New Roman" w:hAnsi="Times New Roman"/>
                <w:color w:val="000000"/>
                <w:sz w:val="28"/>
                <w:szCs w:val="28"/>
              </w:rPr>
            </w:pPr>
            <w:r>
              <w:rPr>
                <w:rFonts w:hint="eastAsia" w:ascii="Times New Roman" w:hAnsi="Times New Roman"/>
                <w:color w:val="000000"/>
                <w:sz w:val="28"/>
                <w:szCs w:val="28"/>
              </w:rPr>
              <w:t>序号</w:t>
            </w:r>
          </w:p>
        </w:tc>
        <w:tc>
          <w:tcPr>
            <w:tcW w:w="3970" w:type="dxa"/>
            <w:vAlign w:val="center"/>
          </w:tcPr>
          <w:p>
            <w:pPr>
              <w:adjustRightInd w:val="0"/>
              <w:snapToGrid w:val="0"/>
              <w:spacing w:line="440" w:lineRule="exact"/>
              <w:jc w:val="center"/>
              <w:rPr>
                <w:rFonts w:hint="eastAsia" w:ascii="Times New Roman" w:hAnsi="Times New Roman"/>
                <w:color w:val="000000"/>
                <w:sz w:val="28"/>
                <w:szCs w:val="28"/>
              </w:rPr>
            </w:pPr>
            <w:r>
              <w:rPr>
                <w:rFonts w:hint="eastAsia" w:ascii="Times New Roman" w:hAnsi="Times New Roman"/>
                <w:color w:val="000000"/>
                <w:sz w:val="28"/>
                <w:szCs w:val="28"/>
              </w:rPr>
              <w:t>检验项目</w:t>
            </w:r>
          </w:p>
        </w:tc>
        <w:tc>
          <w:tcPr>
            <w:tcW w:w="3729" w:type="dxa"/>
            <w:vAlign w:val="center"/>
          </w:tcPr>
          <w:p>
            <w:pPr>
              <w:adjustRightInd w:val="0"/>
              <w:snapToGrid w:val="0"/>
              <w:spacing w:line="440" w:lineRule="exact"/>
              <w:jc w:val="center"/>
              <w:rPr>
                <w:rFonts w:hint="eastAsia" w:ascii="Times New Roman" w:hAnsi="Times New Roman"/>
                <w:color w:val="000000"/>
                <w:sz w:val="28"/>
                <w:szCs w:val="28"/>
              </w:rPr>
            </w:pPr>
            <w:r>
              <w:rPr>
                <w:rFonts w:hint="eastAsia" w:ascii="Times New Roman" w:hAnsi="Times New Roman"/>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4"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1</w:t>
            </w:r>
          </w:p>
        </w:tc>
        <w:tc>
          <w:tcPr>
            <w:tcW w:w="3970"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甲醛含量</w:t>
            </w:r>
          </w:p>
        </w:tc>
        <w:tc>
          <w:tcPr>
            <w:tcW w:w="3729" w:type="dxa"/>
            <w:vAlign w:val="center"/>
          </w:tcPr>
          <w:p>
            <w:pPr>
              <w:adjustRightInd w:val="0"/>
              <w:snapToGrid w:val="0"/>
              <w:jc w:val="center"/>
              <w:rPr>
                <w:rFonts w:ascii="Times New Roman" w:hAnsi="Times New Roman"/>
                <w:color w:val="000000"/>
                <w:sz w:val="28"/>
                <w:szCs w:val="28"/>
              </w:rPr>
            </w:pPr>
            <w:r>
              <w:rPr>
                <w:rFonts w:ascii="Times New Roman" w:hAnsi="Times New Roman"/>
                <w:color w:val="000000"/>
                <w:sz w:val="28"/>
                <w:szCs w:val="28"/>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4"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2</w:t>
            </w:r>
          </w:p>
        </w:tc>
        <w:tc>
          <w:tcPr>
            <w:tcW w:w="3970"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pH值</w:t>
            </w:r>
          </w:p>
        </w:tc>
        <w:tc>
          <w:tcPr>
            <w:tcW w:w="3729" w:type="dxa"/>
            <w:vAlign w:val="center"/>
          </w:tcPr>
          <w:p>
            <w:pPr>
              <w:adjustRightInd w:val="0"/>
              <w:snapToGrid w:val="0"/>
              <w:jc w:val="center"/>
              <w:rPr>
                <w:rFonts w:ascii="Times New Roman" w:hAnsi="Times New Roman"/>
                <w:color w:val="000000"/>
                <w:sz w:val="28"/>
                <w:szCs w:val="28"/>
              </w:rPr>
            </w:pPr>
            <w:r>
              <w:rPr>
                <w:rFonts w:ascii="Times New Roman" w:hAnsi="Times New Roman"/>
                <w:color w:val="000000"/>
                <w:sz w:val="28"/>
                <w:szCs w:val="28"/>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4"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3</w:t>
            </w:r>
          </w:p>
        </w:tc>
        <w:tc>
          <w:tcPr>
            <w:tcW w:w="3970"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可分解致癌芳香胺染料</w:t>
            </w:r>
          </w:p>
        </w:tc>
        <w:tc>
          <w:tcPr>
            <w:tcW w:w="3729" w:type="dxa"/>
            <w:vAlign w:val="center"/>
          </w:tcPr>
          <w:p>
            <w:pPr>
              <w:adjustRightInd w:val="0"/>
              <w:snapToGrid w:val="0"/>
              <w:jc w:val="center"/>
              <w:rPr>
                <w:rFonts w:hint="eastAsia" w:ascii="Times New Roman" w:hAnsi="Times New Roman"/>
                <w:color w:val="000000"/>
                <w:sz w:val="28"/>
                <w:szCs w:val="28"/>
              </w:rPr>
            </w:pPr>
            <w:r>
              <w:rPr>
                <w:rFonts w:ascii="Times New Roman" w:hAnsi="Times New Roman"/>
                <w:color w:val="000000"/>
                <w:sz w:val="28"/>
                <w:szCs w:val="28"/>
              </w:rPr>
              <w:t>GB/T 17592-2011</w:t>
            </w:r>
          </w:p>
          <w:p>
            <w:pPr>
              <w:adjustRightInd w:val="0"/>
              <w:snapToGrid w:val="0"/>
              <w:jc w:val="center"/>
              <w:rPr>
                <w:rFonts w:ascii="Times New Roman" w:hAnsi="Times New Roman"/>
                <w:color w:val="000000"/>
                <w:sz w:val="28"/>
                <w:szCs w:val="28"/>
              </w:rPr>
            </w:pPr>
            <w:r>
              <w:rPr>
                <w:rFonts w:ascii="Times New Roman" w:hAnsi="Times New Roman"/>
                <w:color w:val="000000"/>
                <w:sz w:val="28"/>
                <w:szCs w:val="28"/>
              </w:rPr>
              <w:t>GB/T 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4"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4</w:t>
            </w:r>
          </w:p>
        </w:tc>
        <w:tc>
          <w:tcPr>
            <w:tcW w:w="3970"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耐水色牢度</w:t>
            </w:r>
          </w:p>
        </w:tc>
        <w:tc>
          <w:tcPr>
            <w:tcW w:w="3729" w:type="dxa"/>
            <w:vAlign w:val="center"/>
          </w:tcPr>
          <w:p>
            <w:pPr>
              <w:adjustRightInd w:val="0"/>
              <w:snapToGrid w:val="0"/>
              <w:jc w:val="center"/>
              <w:rPr>
                <w:rFonts w:ascii="Times New Roman" w:hAnsi="Times New Roman"/>
                <w:color w:val="000000"/>
                <w:sz w:val="28"/>
                <w:szCs w:val="28"/>
              </w:rPr>
            </w:pPr>
            <w:r>
              <w:rPr>
                <w:rFonts w:ascii="Times New Roman" w:hAnsi="Times New Roman"/>
                <w:color w:val="000000"/>
                <w:sz w:val="28"/>
                <w:szCs w:val="28"/>
              </w:rPr>
              <w:t>GB/T 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4"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5</w:t>
            </w:r>
          </w:p>
        </w:tc>
        <w:tc>
          <w:tcPr>
            <w:tcW w:w="3970"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耐酸汗渍色牢度</w:t>
            </w:r>
          </w:p>
        </w:tc>
        <w:tc>
          <w:tcPr>
            <w:tcW w:w="3729" w:type="dxa"/>
            <w:vAlign w:val="center"/>
          </w:tcPr>
          <w:p>
            <w:pPr>
              <w:adjustRightInd w:val="0"/>
              <w:snapToGrid w:val="0"/>
              <w:jc w:val="center"/>
              <w:rPr>
                <w:rFonts w:ascii="Times New Roman" w:hAnsi="Times New Roman"/>
                <w:color w:val="000000"/>
                <w:sz w:val="28"/>
                <w:szCs w:val="28"/>
              </w:rPr>
            </w:pPr>
            <w:r>
              <w:rPr>
                <w:rFonts w:ascii="Times New Roman" w:hAnsi="Times New Roman"/>
                <w:color w:val="000000"/>
                <w:sz w:val="28"/>
                <w:szCs w:val="28"/>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4"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6</w:t>
            </w:r>
          </w:p>
        </w:tc>
        <w:tc>
          <w:tcPr>
            <w:tcW w:w="3970"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耐碱汗渍色牢度</w:t>
            </w:r>
          </w:p>
        </w:tc>
        <w:tc>
          <w:tcPr>
            <w:tcW w:w="3729" w:type="dxa"/>
            <w:vAlign w:val="center"/>
          </w:tcPr>
          <w:p>
            <w:pPr>
              <w:adjustRightInd w:val="0"/>
              <w:snapToGrid w:val="0"/>
              <w:jc w:val="center"/>
              <w:rPr>
                <w:rFonts w:ascii="Times New Roman" w:hAnsi="Times New Roman"/>
                <w:color w:val="000000"/>
                <w:sz w:val="28"/>
                <w:szCs w:val="28"/>
              </w:rPr>
            </w:pPr>
            <w:r>
              <w:rPr>
                <w:rFonts w:ascii="Times New Roman" w:hAnsi="Times New Roman"/>
                <w:color w:val="000000"/>
                <w:sz w:val="28"/>
                <w:szCs w:val="28"/>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4"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7</w:t>
            </w:r>
          </w:p>
        </w:tc>
        <w:tc>
          <w:tcPr>
            <w:tcW w:w="3970"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耐干摩擦色牢度</w:t>
            </w:r>
          </w:p>
        </w:tc>
        <w:tc>
          <w:tcPr>
            <w:tcW w:w="3729" w:type="dxa"/>
            <w:vAlign w:val="center"/>
          </w:tcPr>
          <w:p>
            <w:pPr>
              <w:adjustRightInd w:val="0"/>
              <w:snapToGrid w:val="0"/>
              <w:jc w:val="center"/>
              <w:rPr>
                <w:rFonts w:ascii="Times New Roman" w:hAnsi="Times New Roman"/>
                <w:color w:val="000000"/>
                <w:sz w:val="28"/>
                <w:szCs w:val="28"/>
              </w:rPr>
            </w:pPr>
            <w:r>
              <w:rPr>
                <w:rFonts w:ascii="Times New Roman" w:hAnsi="Times New Roman"/>
                <w:color w:val="000000"/>
                <w:sz w:val="28"/>
                <w:szCs w:val="28"/>
              </w:rPr>
              <w:t>GB/T 392</w:t>
            </w:r>
            <w:r>
              <w:rPr>
                <w:rFonts w:hint="eastAsia" w:ascii="Times New Roman" w:hAnsi="Times New Roman"/>
                <w:color w:val="000000"/>
                <w:sz w:val="28"/>
                <w:szCs w:val="28"/>
              </w:rPr>
              <w:t>0</w:t>
            </w:r>
            <w:r>
              <w:rPr>
                <w:rFonts w:ascii="Times New Roman" w:hAnsi="Times New Roman"/>
                <w:color w:val="000000"/>
                <w:sz w:val="28"/>
                <w:szCs w:val="28"/>
              </w:rPr>
              <w:t>-20</w:t>
            </w:r>
            <w:r>
              <w:rPr>
                <w:rFonts w:hint="eastAsia" w:ascii="Times New Roman" w:hAnsi="Times New Roman"/>
                <w:color w:val="000000"/>
                <w:sz w:val="28"/>
                <w:szCs w:val="2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14"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8</w:t>
            </w:r>
          </w:p>
        </w:tc>
        <w:tc>
          <w:tcPr>
            <w:tcW w:w="3970"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纤维含量</w:t>
            </w:r>
          </w:p>
        </w:tc>
        <w:tc>
          <w:tcPr>
            <w:tcW w:w="3729" w:type="dxa"/>
            <w:vAlign w:val="center"/>
          </w:tcPr>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FZ/T 01057.1-2007</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FZ/T 01057.2-2007</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FZ/T 01057.3-2007</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FZ/T 01057.4-2007</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FZ/T 01057.6-2007</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GB/T 2910.1-2009</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GB/T 2910.2-2009</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GB/T 2910.3-2009</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GB/T 2910.4-2009</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GB/T 2910.5-2009</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GB/T 2910.6-2009</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GB/T 2910.7-2009</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GB/T 2910.11-2009</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GB/T 2910.12-2009</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GB/T 2910.20-2009</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FZ/T 01101-2008</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FZ/T 01026-2017</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FZ/T 01095-2002</w:t>
            </w:r>
          </w:p>
          <w:p>
            <w:pPr>
              <w:adjustRightInd w:val="0"/>
              <w:snapToGrid w:val="0"/>
              <w:jc w:val="center"/>
              <w:rPr>
                <w:rFonts w:hint="eastAsia" w:ascii="Times New Roman" w:hAnsi="Times New Roman"/>
                <w:color w:val="000000"/>
                <w:sz w:val="28"/>
                <w:szCs w:val="28"/>
              </w:rPr>
            </w:pPr>
            <w:r>
              <w:rPr>
                <w:rFonts w:hint="eastAsia" w:ascii="Times New Roman" w:hAnsi="Times New Roman"/>
                <w:color w:val="000000"/>
                <w:sz w:val="28"/>
                <w:szCs w:val="28"/>
              </w:rPr>
              <w:t>FZ/T 30003-2009</w:t>
            </w:r>
          </w:p>
        </w:tc>
      </w:tr>
    </w:tbl>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执行企业标准、团体标准、地方标准的产品，检验项目参照上述内容执行。</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凡是注日期的文件，其随后所有的修改单（不包括勘误的内容）或修订版不适用于本细则。凡是不注日期的文件，其最新版本适用于本细则。</w:t>
      </w:r>
    </w:p>
    <w:p>
      <w:pPr>
        <w:adjustRightInd w:val="0"/>
        <w:snapToGrid w:val="0"/>
        <w:spacing w:line="440" w:lineRule="exact"/>
        <w:ind w:firstLine="547" w:firstLineChars="171"/>
        <w:rPr>
          <w:rFonts w:hint="eastAsia" w:ascii="仿宋_GB2312" w:hAnsi="仿宋_GB2312" w:eastAsia="仿宋_GB2312" w:cs="仿宋_GB2312"/>
          <w:kern w:val="0"/>
          <w:sz w:val="32"/>
          <w:szCs w:val="32"/>
          <w:shd w:val="clear" w:color="auto" w:fill="FFFFFF"/>
          <w:lang w:val="en-US" w:eastAsia="zh-CN" w:bidi="ar"/>
        </w:rPr>
      </w:pPr>
    </w:p>
    <w:p>
      <w:pPr>
        <w:pStyle w:val="2"/>
        <w:widowControl/>
        <w:spacing w:beforeAutospacing="0" w:afterAutospacing="0"/>
        <w:jc w:val="both"/>
        <w:rPr>
          <w:rFonts w:hint="eastAsia" w:ascii="仿宋_GB2312" w:hAnsi="仿宋_GB2312" w:eastAsia="仿宋_GB2312" w:cs="仿宋_GB2312"/>
          <w:b/>
          <w:bCs/>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val="en-US" w:eastAsia="zh-CN"/>
        </w:rPr>
        <w:t>3 判定规则</w:t>
      </w:r>
    </w:p>
    <w:p>
      <w:pPr>
        <w:pStyle w:val="2"/>
        <w:widowControl/>
        <w:spacing w:beforeAutospacing="0" w:afterAutospacing="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3.1依据标准</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GB 18401-2010 国家纺织产品基本安全技术规范</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GB/T 29862-2013 纺织品 纤维含量的标识</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GB/T 14272-2011 羽绒服装</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现行有效的企业标准、团体标准、地方标准及产品明示质量要求</w:t>
      </w:r>
    </w:p>
    <w:p>
      <w:pPr>
        <w:pStyle w:val="2"/>
        <w:widowControl/>
        <w:spacing w:beforeAutospacing="0" w:afterAutospacing="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3.2 判定原则</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eastAsia="zh-CN"/>
        </w:rPr>
        <w:t>根据</w:t>
      </w:r>
      <w:r>
        <w:rPr>
          <w:rFonts w:hint="eastAsia" w:ascii="仿宋_GB2312" w:hAnsi="仿宋_GB2312" w:eastAsia="仿宋_GB2312" w:cs="仿宋_GB2312"/>
          <w:sz w:val="32"/>
          <w:szCs w:val="32"/>
          <w:shd w:val="clear" w:color="auto" w:fill="FFFFFF"/>
          <w:lang w:val="en-US" w:eastAsia="zh-CN"/>
        </w:rPr>
        <w:t>GB 18401-2010、GB/T 29862-2013 、GB/T 14272-2011 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若被检产品明示的质量要求高于本细则中检验项目依据的标准要求，应按被检产品明示的质量要求判定。</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若被检产品明示的质量要求低于本细则中检验项目依据的强制性标准要求，应按照强制性标准要求判定。</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若被检产品明示的质量要求低于或包含本细则中检验项目依据的推荐性标准要求，应以被检产品明示的质量要求判定。</w:t>
      </w:r>
    </w:p>
    <w:p>
      <w:pPr>
        <w:pStyle w:val="2"/>
        <w:widowControl/>
        <w:spacing w:beforeAutospacing="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若被检产品明示的质量要求缺少本细则中检验项目依据的强制性标准要求，应按照强制性标准要求判定。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若被检产品明示的质量要求缺少本细则中检验项目依据的推荐性标准要求，该项目不参与判定</w:t>
      </w:r>
      <w:r>
        <w:rPr>
          <w:rFonts w:hint="eastAsia" w:ascii="仿宋_GB2312" w:hAnsi="仿宋_GB2312" w:eastAsia="仿宋_GB2312" w:cs="仿宋_GB2312"/>
          <w:color w:val="000000"/>
          <w:sz w:val="32"/>
          <w:szCs w:val="32"/>
          <w:shd w:val="clear" w:color="auto" w:fill="FFFFFF"/>
        </w:rPr>
        <w:t>，但应在检验报告备注中进行说明。</w:t>
      </w:r>
      <w:bookmarkStart w:id="0" w:name="_GoBack"/>
      <w:bookmarkEnd w:id="0"/>
    </w:p>
    <w:p>
      <w:pPr>
        <w:rPr>
          <w:rFonts w:hint="eastAsia" w:ascii="仿宋" w:hAnsi="仿宋" w:eastAsia="仿宋" w:cs="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83654"/>
    <w:rsid w:val="3B2F3B7B"/>
    <w:rsid w:val="3FA71935"/>
    <w:rsid w:val="53483654"/>
    <w:rsid w:val="5AA74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2020-08-13T08:48:00Z</dcterms:created>
  <dc:creator>徐立君</dc:creator>
  <cp:lastModifiedBy>徐立君</cp:lastModifiedBy>
  <dcterms:modified xsi:type="dcterms:W3CDTF">2020-08-16T23:15:58Z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