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000000"/>
          <w:sz w:val="32"/>
          <w:szCs w:val="32"/>
          <w:lang w:eastAsia="zh-CN"/>
        </w:rPr>
        <w:t>黑龙江省</w:t>
      </w:r>
      <w:r>
        <w:rPr>
          <w:rFonts w:hint="eastAsia" w:ascii="黑体" w:hAnsi="黑体" w:eastAsia="黑体" w:cs="黑体"/>
          <w:b w:val="0"/>
          <w:bCs w:val="0"/>
          <w:i w:val="0"/>
          <w:iCs w:val="0"/>
          <w:color w:val="000000"/>
          <w:sz w:val="32"/>
          <w:szCs w:val="32"/>
          <w:lang w:val="en-US" w:eastAsia="zh-CN"/>
        </w:rPr>
        <w:t>2020年</w:t>
      </w:r>
      <w:r>
        <w:rPr>
          <w:rFonts w:hint="eastAsia" w:ascii="黑体" w:hAnsi="黑体" w:eastAsia="黑体" w:cs="黑体"/>
          <w:b w:val="0"/>
          <w:bCs w:val="0"/>
          <w:i w:val="0"/>
          <w:iCs w:val="0"/>
          <w:color w:val="000000"/>
          <w:sz w:val="32"/>
          <w:szCs w:val="32"/>
        </w:rPr>
        <w:t>餐具洗涤剂产品质量</w:t>
      </w:r>
      <w:r>
        <w:rPr>
          <w:rFonts w:hint="eastAsia" w:ascii="黑体" w:hAnsi="黑体" w:eastAsia="黑体" w:cs="黑体"/>
          <w:b w:val="0"/>
          <w:bCs w:val="0"/>
          <w:i w:val="0"/>
          <w:iCs w:val="0"/>
          <w:color w:val="000000"/>
          <w:sz w:val="32"/>
          <w:szCs w:val="32"/>
          <w:lang w:eastAsia="zh-CN"/>
        </w:rPr>
        <w:t>省级</w:t>
      </w:r>
      <w:r>
        <w:rPr>
          <w:rFonts w:hint="eastAsia" w:ascii="黑体" w:hAnsi="黑体" w:eastAsia="黑体" w:cs="黑体"/>
          <w:b w:val="0"/>
          <w:bCs w:val="0"/>
          <w:i w:val="0"/>
          <w:iCs w:val="0"/>
          <w:color w:val="000000"/>
          <w:sz w:val="32"/>
          <w:szCs w:val="32"/>
        </w:rPr>
        <w:t>监督抽查实施细则</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color w:val="000000"/>
          <w:sz w:val="32"/>
          <w:szCs w:val="32"/>
        </w:rPr>
        <w:t>抽样方法</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以随机抽样的方式在被抽样生产者、销售者的待销产品中抽取。</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spacing w:line="240" w:lineRule="auto"/>
        <w:ind w:firstLine="626"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 抽取样品数量</w:t>
      </w:r>
    </w:p>
    <w:tbl>
      <w:tblPr>
        <w:tblStyle w:val="8"/>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989"/>
        <w:gridCol w:w="2647"/>
        <w:gridCol w:w="131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9" w:hRule="atLeast"/>
          <w:tblHeader/>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98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产品种类</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抽样数量（个）</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检验样品数量（个）</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备用样品数量（个）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3" w:hRule="atLeast"/>
          <w:tblHeader/>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98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包装规格＜2kg（L）</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不少于2kg且不少于6个独立包装</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blHeader/>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98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包装规格≥2kg（L）且＜10kg（L）的独立包装</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不少于3个独立包装</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blHeader/>
          <w:jc w:val="center"/>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98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包装规格≥10kg的大包装</w:t>
            </w:r>
          </w:p>
        </w:tc>
        <w:tc>
          <w:tcPr>
            <w:tcW w:w="26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3个大包装，从每个大包装产品中分别分装成相应小包装样品，每一个小包装量不少于1kg（L）</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r>
    </w:tbl>
    <w:p>
      <w:pPr>
        <w:keepNext w:val="0"/>
        <w:keepLines w:val="0"/>
        <w:pageBreakBefore w:val="0"/>
        <w:widowControl w:val="0"/>
        <w:kinsoku/>
        <w:wordWrap/>
        <w:overflowPunct/>
        <w:topLinePunct w:val="0"/>
        <w:autoSpaceDE/>
        <w:autoSpaceDN/>
        <w:bidi w:val="0"/>
        <w:adjustRightInd/>
        <w:snapToGrid/>
        <w:spacing w:line="0" w:lineRule="atLeast"/>
        <w:ind w:firstLine="626"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color w:val="000000"/>
          <w:sz w:val="32"/>
          <w:szCs w:val="32"/>
        </w:rPr>
        <w:t>检验依据</w:t>
      </w:r>
    </w:p>
    <w:p>
      <w:pPr>
        <w:keepNext w:val="0"/>
        <w:keepLines w:val="0"/>
        <w:pageBreakBefore w:val="0"/>
        <w:kinsoku/>
        <w:wordWrap/>
        <w:overflowPunct/>
        <w:topLinePunct w:val="0"/>
        <w:autoSpaceDE/>
        <w:autoSpaceDN/>
        <w:bidi w:val="0"/>
        <w:spacing w:line="240" w:lineRule="auto"/>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手洗餐具用洗涤剂（含果蔬清洗剂）</w:t>
      </w:r>
    </w:p>
    <w:tbl>
      <w:tblPr>
        <w:tblStyle w:val="8"/>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813"/>
        <w:gridCol w:w="4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总活性物含量</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9985-2000 4.3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13173-2008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pH</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荧光增白剂</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9985-2000</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甲醇含量</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30795-2014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9985-2000附录E</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30796-2014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砷（As）</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30797-2014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30799-2014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菌落总数</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8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42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4789.3-2016</w:t>
            </w:r>
          </w:p>
        </w:tc>
      </w:tr>
    </w:tbl>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执行企业标准、团体标准、地方标准的产品，检验项目参照上述内容执行。</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color w:val="000000"/>
          <w:sz w:val="32"/>
          <w:szCs w:val="32"/>
        </w:rPr>
        <w:t>判定规则</w:t>
      </w:r>
    </w:p>
    <w:p>
      <w:pPr>
        <w:pStyle w:val="5"/>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sz w:val="32"/>
          <w:szCs w:val="32"/>
          <w:shd w:val="clear" w:color="auto" w:fill="FFFFFF"/>
          <w:lang w:val="en-US" w:eastAsia="zh-CN"/>
        </w:rPr>
        <w:t>.1依据标准</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14930.1-2015 食品安全国家标准 洗涤剂</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9985-2000 手洗餐具用洗涤剂</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val="0"/>
          <w:bCs w:val="0"/>
          <w:color w:val="000000"/>
          <w:sz w:val="32"/>
          <w:szCs w:val="32"/>
        </w:rPr>
      </w:pPr>
      <w:bookmarkStart w:id="0" w:name="_GoBack"/>
      <w:r>
        <w:rPr>
          <w:rFonts w:hint="eastAsia" w:ascii="仿宋_GB2312" w:hAnsi="仿宋_GB2312" w:eastAsia="仿宋_GB2312" w:cs="仿宋_GB2312"/>
          <w:b w:val="0"/>
          <w:bCs w:val="0"/>
          <w:color w:val="000000"/>
          <w:sz w:val="32"/>
          <w:szCs w:val="32"/>
          <w:lang w:val="en-US" w:eastAsia="zh-CN"/>
        </w:rPr>
        <w:t>3.2</w:t>
      </w:r>
      <w:bookmarkEnd w:id="0"/>
      <w:r>
        <w:rPr>
          <w:rFonts w:hint="eastAsia" w:ascii="仿宋_GB2312" w:hAnsi="仿宋_GB2312" w:eastAsia="仿宋_GB2312" w:cs="仿宋_GB2312"/>
          <w:b w:val="0"/>
          <w:bCs w:val="0"/>
          <w:color w:val="000000"/>
          <w:sz w:val="32"/>
          <w:szCs w:val="32"/>
        </w:rPr>
        <w:t>判定原则</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GB 14930.1-2015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GB/T 9985-2000 </w:t>
      </w:r>
      <w:r>
        <w:rPr>
          <w:rFonts w:hint="eastAsia" w:ascii="仿宋_GB2312" w:hAnsi="仿宋_GB2312" w:eastAsia="仿宋_GB2312" w:cs="仿宋_GB2312"/>
          <w:color w:val="000000"/>
          <w:sz w:val="32"/>
          <w:szCs w:val="32"/>
          <w:lang w:eastAsia="zh-CN"/>
        </w:rPr>
        <w:t>判定。</w:t>
      </w:r>
    </w:p>
    <w:p>
      <w:pPr>
        <w:pStyle w:val="5"/>
        <w:widowControl/>
        <w:shd w:val="clear" w:color="auto" w:fill="FFFFFF"/>
        <w:spacing w:beforeAutospacing="0" w:afterAutospacing="0"/>
        <w:ind w:right="45" w:firstLine="626"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pStyle w:val="5"/>
        <w:widowControl/>
        <w:shd w:val="clear" w:color="auto" w:fill="FFFFFF"/>
        <w:spacing w:beforeAutospacing="0" w:afterAutospacing="0"/>
        <w:ind w:right="45" w:firstLine="626"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p>
      <w:pPr>
        <w:keepNext w:val="0"/>
        <w:keepLines w:val="0"/>
        <w:pageBreakBefore w:val="0"/>
        <w:kinsoku/>
        <w:wordWrap/>
        <w:overflowPunct/>
        <w:topLinePunct w:val="0"/>
        <w:autoSpaceDE/>
        <w:autoSpaceDN/>
        <w:bidi w:val="0"/>
        <w:spacing w:line="240" w:lineRule="auto"/>
        <w:ind w:firstLine="62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依据《健康相关产品国家卫生监督抽检规定》（卫监督发〔2005〕515号）第十九条“产品微生物指标超标的不予复检”及GB 4789.1-2016 《食品安全国家标准 食品微生物学检验 总则》第7.3条“检验结果报告后，剩余样品和同批产品不进行微生物项目复检”的规定，微生物项目（菌落总数、大肠菌群）不合格不复检。</w:t>
      </w:r>
    </w:p>
    <w:p>
      <w:pPr>
        <w:pStyle w:val="5"/>
        <w:keepNext w:val="0"/>
        <w:keepLines w:val="0"/>
        <w:pageBreakBefore w:val="0"/>
        <w:widowControl/>
        <w:kinsoku/>
        <w:wordWrap/>
        <w:overflowPunct/>
        <w:topLinePunct w:val="0"/>
        <w:autoSpaceDE/>
        <w:autoSpaceDN/>
        <w:bidi w:val="0"/>
        <w:spacing w:beforeAutospacing="0" w:afterAutospacing="0" w:line="240" w:lineRule="auto"/>
        <w:jc w:val="both"/>
        <w:rPr>
          <w:rFonts w:hint="eastAsia" w:ascii="仿宋_GB2312" w:hAnsi="仿宋_GB2312" w:eastAsia="仿宋_GB2312" w:cs="仿宋_GB2312"/>
          <w:color w:val="000000"/>
          <w:sz w:val="32"/>
          <w:szCs w:val="32"/>
          <w:shd w:val="clear" w:color="auto" w:fill="FFFFFF"/>
          <w:lang w:val="en-US" w:eastAsia="zh-CN"/>
        </w:rPr>
      </w:pPr>
    </w:p>
    <w:p>
      <w:pPr>
        <w:pStyle w:val="5"/>
        <w:keepNext w:val="0"/>
        <w:keepLines w:val="0"/>
        <w:pageBreakBefore w:val="0"/>
        <w:widowControl/>
        <w:kinsoku/>
        <w:wordWrap/>
        <w:overflowPunct/>
        <w:topLinePunct w:val="0"/>
        <w:autoSpaceDE/>
        <w:autoSpaceDN/>
        <w:bidi w:val="0"/>
        <w:spacing w:beforeAutospacing="0" w:afterAutospacing="0" w:line="240" w:lineRule="auto"/>
        <w:jc w:val="both"/>
        <w:rPr>
          <w:rFonts w:hint="eastAsia" w:ascii="仿宋_GB2312" w:hAnsi="仿宋_GB2312" w:eastAsia="仿宋_GB2312" w:cs="仿宋_GB2312"/>
          <w:color w:val="000000"/>
          <w:sz w:val="32"/>
          <w:szCs w:val="32"/>
          <w:shd w:val="clear" w:color="auto" w:fill="FFFFFF"/>
          <w:lang w:val="en-US" w:eastAsia="zh-CN"/>
        </w:rPr>
      </w:pPr>
    </w:p>
    <w:p/>
    <w:sectPr>
      <w:footerReference r:id="rId3" w:type="default"/>
      <w:pgSz w:w="11906" w:h="16838"/>
      <w:pgMar w:top="1474" w:right="1361" w:bottom="1417" w:left="1417" w:header="851" w:footer="1587" w:gutter="0"/>
      <w:cols w:space="0" w:num="1"/>
      <w:rtlGutter w:val="0"/>
      <w:docGrid w:type="linesAndChars" w:linePitch="590" w:charSpace="-1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_GB2312">
    <w:altName w:val="Times New Roman"/>
    <w:panose1 w:val="00000000000000000000"/>
    <w:charset w:val="00"/>
    <w:family w:val="auto"/>
    <w:pitch w:val="default"/>
    <w:sig w:usb0="00000000" w:usb1="00000000" w:usb2="00000000" w:usb3="00000000" w:csb0="00000001" w:csb1="00000000"/>
  </w:font>
  <w:font w:name="汉鼎简书宋二">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suff w:val="nothing"/>
      <w:lvlText w:val="%1"/>
      <w:lvlJc w:val="left"/>
      <w:rPr>
        <w:rFonts w:hint="default" w:ascii="Times New Roman" w:hAnsi="Times New Roman" w:cs="Times New Roman"/>
        <w:b/>
        <w:bCs/>
        <w:i w:val="0"/>
        <w:iCs w:val="0"/>
        <w:sz w:val="21"/>
        <w:szCs w:val="21"/>
      </w:rPr>
    </w:lvl>
    <w:lvl w:ilvl="1" w:tentative="0">
      <w:start w:val="1"/>
      <w:numFmt w:val="decimal"/>
      <w:pStyle w:val="16"/>
      <w:suff w:val="nothing"/>
      <w:lvlText w:val="%1%2　"/>
      <w:lvlJc w:val="left"/>
      <w:rPr>
        <w:rFonts w:hint="eastAsia" w:ascii="??_GB2312" w:hAnsi="Times New Roman" w:eastAsia="Times New Roman"/>
        <w:b w:val="0"/>
        <w:bCs w:val="0"/>
        <w:i w:val="0"/>
        <w:iCs w:val="0"/>
        <w:sz w:val="28"/>
        <w:szCs w:val="28"/>
      </w:rPr>
    </w:lvl>
    <w:lvl w:ilvl="2" w:tentative="0">
      <w:start w:val="1"/>
      <w:numFmt w:val="decimal"/>
      <w:suff w:val="nothing"/>
      <w:lvlText w:val="%1%2.%3　"/>
      <w:lvlJc w:val="left"/>
      <w:pPr>
        <w:ind w:left="710"/>
      </w:pPr>
      <w:rPr>
        <w:rFonts w:hint="eastAsia" w:ascii="??_GB2312" w:hAnsi="Times New Roman" w:eastAsia="Times New Roman"/>
        <w:b w:val="0"/>
        <w:bCs w:val="0"/>
        <w:i w:val="0"/>
        <w:iCs w:val="0"/>
        <w:sz w:val="28"/>
        <w:szCs w:val="28"/>
      </w:rPr>
    </w:lvl>
    <w:lvl w:ilvl="3" w:tentative="0">
      <w:start w:val="1"/>
      <w:numFmt w:val="decimal"/>
      <w:suff w:val="nothing"/>
      <w:lvlText w:val="%1%2.3.%4　"/>
      <w:lvlJc w:val="left"/>
      <w:pPr>
        <w:ind w:left="993"/>
      </w:pPr>
      <w:rPr>
        <w:rFonts w:hint="eastAsia" w:ascii="??_GB2312" w:hAnsi="Times New Roman" w:eastAsia="Times New Roman"/>
        <w:b w:val="0"/>
        <w:bCs w:val="0"/>
        <w:i w:val="0"/>
        <w:iCs w:val="0"/>
        <w:sz w:val="28"/>
        <w:szCs w:val="28"/>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420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17"/>
    <w:multiLevelType w:val="multilevel"/>
    <w:tmpl w:val="00000017"/>
    <w:lvl w:ilvl="0" w:tentative="0">
      <w:start w:val="1"/>
      <w:numFmt w:val="decimal"/>
      <w:pStyle w:val="14"/>
      <w:suff w:val="nothing"/>
      <w:lvlText w:val="表%1　"/>
      <w:lvlJc w:val="left"/>
      <w:rPr>
        <w:rFonts w:hint="eastAsia" w:ascii="宋体" w:hAnsi="宋体" w:eastAsia="宋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26C18"/>
    <w:rsid w:val="0A987C9A"/>
    <w:rsid w:val="0B106F09"/>
    <w:rsid w:val="0DE73C06"/>
    <w:rsid w:val="1FA04954"/>
    <w:rsid w:val="1FCF3D33"/>
    <w:rsid w:val="27E60C97"/>
    <w:rsid w:val="3E123EA9"/>
    <w:rsid w:val="4BFE2E6E"/>
    <w:rsid w:val="652C1064"/>
    <w:rsid w:val="7DFD1650"/>
    <w:rsid w:val="7E62261B"/>
    <w:rsid w:val="7E82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semiHidden/>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99"/>
    <w:pPr>
      <w:ind w:firstLine="420" w:firstLineChars="200"/>
    </w:pPr>
  </w:style>
  <w:style w:type="paragraph" w:customStyle="1" w:styleId="11">
    <w:name w:val="msonormalcxspmiddle"/>
    <w:basedOn w:val="1"/>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12">
    <w:name w:val="默认"/>
    <w:qFormat/>
    <w:uiPriority w:val="0"/>
    <w:pPr>
      <w:framePr w:wrap="around" w:vAnchor="margin" w:hAnchor="text" w:y="1"/>
      <w:spacing w:before="160"/>
    </w:pPr>
    <w:rPr>
      <w:rFonts w:hint="eastAsia" w:ascii="Arial Unicode MS" w:hAnsi="Arial Unicode MS" w:eastAsia="Arial Unicode MS" w:cs="Arial Unicode MS"/>
      <w:color w:val="000000"/>
      <w:sz w:val="24"/>
      <w:szCs w:val="24"/>
      <w:u w:val="none" w:color="000000"/>
      <w:lang w:val="zh-TW" w:eastAsia="zh-TW" w:bidi="ar-SA"/>
    </w:rPr>
  </w:style>
  <w:style w:type="paragraph" w:customStyle="1" w:styleId="13">
    <w:name w:val="Other|1"/>
    <w:basedOn w:val="1"/>
    <w:qFormat/>
    <w:uiPriority w:val="0"/>
    <w:pPr>
      <w:spacing w:line="350" w:lineRule="auto"/>
      <w:jc w:val="left"/>
    </w:pPr>
    <w:rPr>
      <w:rFonts w:ascii="宋体" w:hAnsi="宋体" w:cs="宋体"/>
      <w:kern w:val="0"/>
      <w:sz w:val="19"/>
      <w:szCs w:val="19"/>
      <w:lang w:val="zh-TW" w:eastAsia="zh-TW" w:bidi="zh-TW"/>
    </w:rPr>
  </w:style>
  <w:style w:type="paragraph" w:customStyle="1" w:styleId="14">
    <w:name w:val="正文表标题"/>
    <w:next w:val="15"/>
    <w:qFormat/>
    <w:uiPriority w:val="99"/>
    <w:pPr>
      <w:numPr>
        <w:ilvl w:val="0"/>
        <w:numId w:val="1"/>
      </w:numPr>
      <w:jc w:val="center"/>
    </w:pPr>
    <w:rPr>
      <w:rFonts w:ascii="黑体" w:hAnsi="Calibri" w:eastAsia="黑体" w:cs="黑体"/>
      <w:sz w:val="21"/>
      <w:szCs w:val="21"/>
      <w:lang w:val="en-US" w:eastAsia="zh-CN" w:bidi="ar-SA"/>
    </w:rPr>
  </w:style>
  <w:style w:type="paragraph" w:customStyle="1" w:styleId="15">
    <w:name w:val="段"/>
    <w:qFormat/>
    <w:uiPriority w:val="99"/>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16">
    <w:name w:val="章标题"/>
    <w:next w:val="1"/>
    <w:qFormat/>
    <w:uiPriority w:val="99"/>
    <w:pPr>
      <w:numPr>
        <w:ilvl w:val="1"/>
        <w:numId w:val="2"/>
      </w:numPr>
      <w:spacing w:beforeLines="50" w:afterLines="50"/>
      <w:jc w:val="both"/>
      <w:outlineLvl w:val="1"/>
    </w:pPr>
    <w:rPr>
      <w:rFonts w:ascii="黑体" w:hAnsi="Calibri" w:eastAsia="黑体" w:cs="黑体"/>
      <w:sz w:val="21"/>
      <w:szCs w:val="21"/>
      <w:lang w:val="en-US" w:eastAsia="zh-CN" w:bidi="ar-SA"/>
    </w:rPr>
  </w:style>
  <w:style w:type="paragraph" w:styleId="1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肥料正文"/>
    <w:basedOn w:val="1"/>
    <w:qFormat/>
    <w:uiPriority w:val="0"/>
    <w:pPr>
      <w:adjustRightInd w:val="0"/>
      <w:snapToGrid w:val="0"/>
      <w:spacing w:line="317" w:lineRule="auto"/>
      <w:ind w:firstLine="200" w:firstLineChars="200"/>
    </w:pPr>
    <w:rPr>
      <w:rFonts w:ascii="Times New Roman" w:hAnsi="Times New Roman" w:eastAsia="汉鼎简书宋二" w:cs="Times New Roman"/>
      <w:snapToGrid w:val="0"/>
      <w:spacing w:val="2"/>
      <w:kern w:val="0"/>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2020-08-13T08:06:00Z</dcterms:created>
  <dc:creator>徐立君</dc:creator>
  <cp:lastModifiedBy>徐立君</cp:lastModifiedBy>
  <dcterms:modified xsi:type="dcterms:W3CDTF">2020-08-16T23:58:09Z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